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81"/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8"/>
        </w:rPr>
        <w:t xml:space="preserve">ПОЯСНИТЕЛЬНАЯ ЗАПИСКА</w:t>
      </w:r>
      <w:r>
        <w:rPr>
          <w:rFonts w:ascii="FreeSerif" w:hAnsi="FreeSerif" w:cs="FreeSerif"/>
          <w:sz w:val="28"/>
          <w:szCs w:val="28"/>
        </w:rPr>
      </w:r>
    </w:p>
    <w:p>
      <w:pPr>
        <w:pStyle w:val="681"/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ПРОЕКТУ РЕШЕНИЯ «О БЮДЖЕТЕ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cs="FreeSerif"/>
          <w:sz w:val="28"/>
          <w:szCs w:val="28"/>
        </w:rPr>
      </w:r>
    </w:p>
    <w:p>
      <w:pPr>
        <w:pStyle w:val="681"/>
        <w:contextualSpacing/>
        <w:jc w:val="center"/>
        <w:spacing w:line="240" w:lineRule="auto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ЫЙ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ГОДОВ»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681"/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Проект решения «О бюджете 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ий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ый </w:t>
      </w:r>
      <w:r>
        <w:rPr>
          <w:rFonts w:ascii="FreeSerif" w:hAnsi="FreeSerif" w:eastAsia="FreeSerif" w:cs="FreeSerif"/>
          <w:sz w:val="28"/>
          <w:szCs w:val="28"/>
        </w:rPr>
        <w:t xml:space="preserve">округ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и</w:t>
      </w:r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годов»  </w:t>
      </w:r>
      <w:r>
        <w:rPr>
          <w:rFonts w:ascii="FreeSerif" w:hAnsi="FreeSerif" w:eastAsia="FreeSerif" w:cs="FreeSerif"/>
          <w:sz w:val="28"/>
          <w:szCs w:val="28"/>
        </w:rPr>
        <w:t xml:space="preserve">подготовлен в соответствии с требованиями Бюджетного кодекса Российской  Федерации,  Налогового кодекса Российской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, решени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«О бюджетном процессе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», иных нормативных правовых актов Российской Федерации, Краснодарского края 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Настоящая пояснительная записка содержит информацию об основных показателях проекта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 год и на 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годов: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доходы бюджета по видам доходов;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бюджета, осуществляемые в рамках муниципальных программ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и непрограммных направлений деятельности органов местного самоуправления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(далее – непрограммные направления деятельности);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источники финансирования дефицита бюджета. </w:t>
      </w:r>
      <w:r>
        <w:rPr>
          <w:rFonts w:ascii="FreeSerif" w:hAnsi="FreeSerif" w:cs="FreeSerif"/>
          <w:sz w:val="28"/>
          <w:szCs w:val="28"/>
        </w:rPr>
      </w:r>
    </w:p>
    <w:p>
      <w:pPr>
        <w:pStyle w:val="681"/>
        <w:contextualSpacing/>
        <w:jc w:val="center"/>
        <w:spacing w:line="240" w:lineRule="auto"/>
        <w:widowControl w:val="off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1. Основные показатели проекта бюджета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cs="FreeSerif"/>
          <w:b w:val="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Проект бюджета сформирован на основе варианта прогноза социально-</w:t>
      </w:r>
      <w:r>
        <w:rPr>
          <w:rFonts w:ascii="FreeSerif" w:hAnsi="FreeSerif" w:eastAsia="FreeSerif" w:cs="FreeSerif"/>
          <w:sz w:val="28"/>
          <w:szCs w:val="28"/>
        </w:rPr>
        <w:t xml:space="preserve">экономического развития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widowControl w:val="off"/>
        <w:tabs>
          <w:tab w:val="left" w:pos="7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Основные характеристики бюджета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widowControl w:val="off"/>
        <w:tabs>
          <w:tab w:val="left" w:pos="7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widowControl w:val="off"/>
        <w:tabs>
          <w:tab w:val="left" w:pos="7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465" w:type="dxa"/>
        <w:tblInd w:w="2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03"/>
        <w:gridCol w:w="1701"/>
        <w:gridCol w:w="1701"/>
        <w:gridCol w:w="1560"/>
      </w:tblGrid>
      <w:tr>
        <w:tblPrEx/>
        <w:trPr>
          <w:trHeight w:val="205"/>
          <w:tblHeader/>
        </w:trPr>
        <w:tc>
          <w:tcPr>
            <w:tcW w:w="450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Показатель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5"/>
        </w:trPr>
        <w:tc>
          <w:tcPr>
            <w:tcW w:w="4503" w:type="dxa"/>
            <w:textDirection w:val="lrTb"/>
            <w:noWrap w:val="false"/>
          </w:tcPr>
          <w:p>
            <w:pPr>
              <w:contextualSpacing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Доходы,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3170060,2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3211327,5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3153930,8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5"/>
        </w:trPr>
        <w:tc>
          <w:tcPr>
            <w:tcW w:w="4503" w:type="dxa"/>
            <w:textDirection w:val="lrTb"/>
            <w:noWrap w:val="false"/>
          </w:tcPr>
          <w:p>
            <w:pPr>
              <w:contextualSpacing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Налоговые  и неналоговые доходы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1399111,9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1422741,5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1409915,1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5"/>
        </w:trPr>
        <w:tc>
          <w:tcPr>
            <w:tcW w:w="4503" w:type="dxa"/>
            <w:textDirection w:val="lrTb"/>
            <w:noWrap w:val="false"/>
          </w:tcPr>
          <w:p>
            <w:pPr>
              <w:contextualSpacing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1770948,3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1788586,0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1744015,7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5"/>
        </w:trPr>
        <w:tc>
          <w:tcPr>
            <w:tcW w:w="4503" w:type="dxa"/>
            <w:textDirection w:val="lrTb"/>
            <w:noWrap w:val="false"/>
          </w:tcPr>
          <w:p>
            <w:pPr>
              <w:contextualSpacing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Start w:id="0" w:name="_Hlk182211577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Расходы,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3166517,7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3204242,5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3153930,8</w:t>
            </w:r>
            <w:bookmarkEnd w:id="0"/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5"/>
        </w:trPr>
        <w:tc>
          <w:tcPr>
            <w:tcW w:w="4503" w:type="dxa"/>
            <w:textDirection w:val="lrTb"/>
            <w:noWrap w:val="false"/>
          </w:tcPr>
          <w:p>
            <w:pPr>
              <w:contextualSpacing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Дефицит (–)/ профицит (+)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3542,5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7085,0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05"/>
        </w:trPr>
        <w:tc>
          <w:tcPr>
            <w:tcW w:w="4503" w:type="dxa"/>
            <w:textDirection w:val="lrTb"/>
            <w:noWrap w:val="false"/>
          </w:tcPr>
          <w:p>
            <w:pPr>
              <w:contextualSpacing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Источники финансирования дефицита бюджета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3542,5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7085,0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6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widowControl w:val="off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ind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проекте решения учтены требования Бюджетного кодекса Российской Федерации по</w:t>
      </w:r>
      <w:r>
        <w:rPr>
          <w:rFonts w:ascii="FreeSerif" w:hAnsi="FreeSerif" w:eastAsia="FreeSerif" w:cs="FreeSerif"/>
          <w:sz w:val="28"/>
          <w:szCs w:val="28"/>
        </w:rPr>
        <w:t xml:space="preserve"> соблюдению ограничений предельного объема заимствований и объема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долга, а также предусмотрены</w:t>
      </w:r>
      <w:r>
        <w:rPr>
          <w:rFonts w:ascii="FreeSerif" w:hAnsi="FreeSerif" w:eastAsia="FreeSerif" w:cs="FreeSerif"/>
          <w:sz w:val="28"/>
          <w:szCs w:val="28"/>
        </w:rPr>
        <w:t xml:space="preserve"> бюджетные </w:t>
      </w:r>
      <w:r>
        <w:rPr>
          <w:rFonts w:ascii="FreeSerif" w:hAnsi="FreeSerif" w:eastAsia="FreeSerif" w:cs="FreeSerif"/>
          <w:sz w:val="28"/>
          <w:szCs w:val="28"/>
        </w:rPr>
        <w:t xml:space="preserve"> ассигнования на </w:t>
      </w:r>
      <w:r>
        <w:rPr>
          <w:rFonts w:ascii="FreeSerif" w:hAnsi="FreeSerif" w:eastAsia="FreeSerif" w:cs="FreeSerif"/>
          <w:sz w:val="28"/>
          <w:szCs w:val="28"/>
        </w:rPr>
        <w:t xml:space="preserve">погашение и обслуживание муниципального долга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Подробное описание, расчеты и обоснования объемов доходов, бюджетных ассигнований и источников покрытия дефицита бюджета приведены в соответствующих разделах настоящей пояснительной записки.</w:t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  <w:outlineLvl w:val="0"/>
      </w:pPr>
      <w:r>
        <w:rPr>
          <w:rFonts w:ascii="FreeSerif" w:hAnsi="FreeSerif" w:eastAsia="FreeSerif" w:cs="FreeSerif"/>
          <w:sz w:val="28"/>
          <w:szCs w:val="28"/>
        </w:rPr>
        <w:t xml:space="preserve">2.Доходная часть бюджета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ри расчете прогнозируемого объема доходов бюджета учитывались изменения </w:t>
      </w:r>
      <w:r>
        <w:rPr>
          <w:rFonts w:ascii="FreeSerif" w:hAnsi="FreeSerif" w:eastAsia="FreeSerif" w:cs="FreeSerif"/>
          <w:sz w:val="28"/>
          <w:szCs w:val="28"/>
        </w:rPr>
        <w:t xml:space="preserve">в налоговом и бюджетном законодательстве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, вводимые в действие с 1 января 202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года.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В частности, при формировании прогноза доходов бюджета учтены следующие изменения в законодательстве Российской Федерации: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 изменение нормативов зачисления в бюджеты бюджетной системы Российской Федерации доходов от уплаты акцизов;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зачисления в бюджет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налогов и сборов, подлежащих зачислению в соответствии с Бюджетным кодексом в краевой бюджет, на основании статьи 13 Закона Краснодарского края от 04 февраля 2002 года № 437-КЗ «О бюджетном процессе в Краснодарском крае»: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прибыль организаций в размере 5 %;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НДФЛ </w:t>
      </w:r>
      <w:r>
        <w:rPr>
          <w:rFonts w:ascii="FreeSerif" w:hAnsi="FreeSerif" w:eastAsia="FreeSerif" w:cs="FreeSerif"/>
          <w:sz w:val="28"/>
          <w:szCs w:val="28"/>
        </w:rPr>
        <w:t xml:space="preserve">в размере </w:t>
      </w:r>
      <w:r>
        <w:rPr>
          <w:rFonts w:ascii="FreeSerif" w:hAnsi="FreeSerif" w:eastAsia="FreeSerif" w:cs="FreeSerif"/>
          <w:sz w:val="28"/>
          <w:szCs w:val="28"/>
        </w:rPr>
        <w:t xml:space="preserve">58,76% (а именно п.7ст. 437 КЗ «О бюджетном процессе в Краснодарском крае»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%;</w:t>
      </w:r>
      <w:r>
        <w:rPr>
          <w:rFonts w:ascii="FreeSerif" w:hAnsi="FreeSerif" w:eastAsia="FreeSerif" w:cs="FreeSerif"/>
          <w:sz w:val="28"/>
          <w:szCs w:val="28"/>
        </w:rPr>
        <w:t xml:space="preserve"> ст. 61.6 БК РФ 15% и дополнительный норматив 17,76%;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налога, взимаемого в связи применением упрощенной системы налогообложения, в том числе минимального в размере 50%;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налога на имущество организаций в размере 3%;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штрафов, установленных Законом Краснодарского края от 23 июля 2003 года 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608-КЗ «Об административных правонарушениях» в случае, если постановление о наложении административных штрафов вынесены комиссиями по делам несовершеннолетних и защите их прав в размере 100%;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изменения зачисления доходов от штрафов, неустоек, пеней в соответствии со статьей 46 Налогового кодекса Российской Федерации 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у</w:t>
      </w:r>
      <w:r>
        <w:rPr>
          <w:rFonts w:ascii="FreeSerif" w:hAnsi="FreeSerif" w:eastAsia="FreeSerif" w:cs="FreeSerif"/>
          <w:sz w:val="28"/>
          <w:szCs w:val="28"/>
        </w:rPr>
        <w:t xml:space="preserve">меньшение</w:t>
      </w:r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1,49 </w:t>
      </w:r>
      <w:r>
        <w:rPr>
          <w:rFonts w:ascii="FreeSerif" w:hAnsi="FreeSerif" w:eastAsia="FreeSerif" w:cs="FreeSerif"/>
          <w:sz w:val="28"/>
          <w:szCs w:val="28"/>
        </w:rPr>
        <w:t xml:space="preserve">%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дополнительного норматива отчислений от налога на доходы физических лиц в соответствии с Законом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«О бюджете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и плановый период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годов».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Прогноз доходов бюджета</w:t>
      </w:r>
      <w:r>
        <w:rPr>
          <w:rFonts w:ascii="FreeSerif" w:hAnsi="FreeSerif" w:cs="FreeSerif"/>
          <w:sz w:val="28"/>
          <w:szCs w:val="28"/>
        </w:rPr>
      </w:r>
    </w:p>
    <w:p>
      <w:pPr>
        <w:pStyle w:val="682"/>
        <w:contextualSpacing/>
        <w:jc w:val="center"/>
        <w:spacing w:line="240" w:lineRule="auto"/>
        <w:rPr>
          <w:rFonts w:ascii="FreeSerif" w:hAnsi="FreeSerif" w:cs="FreeSerif"/>
          <w:b w:val="0"/>
          <w:sz w:val="28"/>
          <w:szCs w:val="28"/>
        </w:rPr>
      </w:pPr>
      <w:r>
        <w:rPr>
          <w:rFonts w:ascii="FreeSerif" w:hAnsi="FreeSerif" w:eastAsia="FreeSerif" w:cs="FreeSerif"/>
          <w:b w:val="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                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 w:val="0"/>
          <w:sz w:val="28"/>
          <w:szCs w:val="28"/>
        </w:rPr>
        <w:t xml:space="preserve">                  (тыс. руб.)</w:t>
      </w:r>
      <w:r>
        <w:rPr>
          <w:rFonts w:ascii="FreeSerif" w:hAnsi="FreeSerif" w:cs="FreeSerif"/>
          <w:b w:val="0"/>
          <w:sz w:val="28"/>
          <w:szCs w:val="28"/>
        </w:rPr>
      </w:r>
    </w:p>
    <w:tbl>
      <w:tblPr>
        <w:tblW w:w="9705" w:type="dxa"/>
        <w:tblInd w:w="95" w:type="dxa"/>
        <w:tblLayout w:type="fixed"/>
        <w:tblLook w:val="00A0" w:firstRow="1" w:lastRow="0" w:firstColumn="1" w:lastColumn="0" w:noHBand="0" w:noVBand="0"/>
      </w:tblPr>
      <w:tblGrid>
        <w:gridCol w:w="580"/>
        <w:gridCol w:w="3006"/>
        <w:gridCol w:w="1163"/>
        <w:gridCol w:w="1246"/>
        <w:gridCol w:w="1242"/>
        <w:gridCol w:w="1192"/>
        <w:gridCol w:w="1276"/>
      </w:tblGrid>
      <w:tr>
        <w:tblPrEx/>
        <w:trPr>
          <w:cantSplit/>
          <w:trHeight w:val="270"/>
          <w:tblHeader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80" w:type="dxa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№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 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auto" w:sz="4" w:space="0"/>
              <w:right w:val="single" w:color="000000" w:sz="8" w:space="0"/>
            </w:tcBorders>
            <w:tcW w:w="1163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Ожидаемое поступление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г 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gridSpan w:val="3"/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371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Проект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cantSplit/>
          <w:trHeight w:val="270"/>
          <w:tblHeader/>
        </w:trPr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vMerge w:val="continue"/>
            <w:textDirection w:val="lrTb"/>
            <w:noWrap w:val="false"/>
          </w:tcPr>
          <w:p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  <w:r>
              <w:rPr>
                <w:color w:val="000000"/>
                <w:sz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</w:r>
            <w:r>
              <w:rPr>
                <w:color w:val="000000"/>
                <w:sz w:val="20"/>
              </w:rPr>
            </w:r>
          </w:p>
        </w:tc>
        <w:tc>
          <w:tcPr>
            <w:tcBorders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vMerge w:val="continue"/>
            <w:textDirection w:val="lrTb"/>
            <w:noWrap w:val="false"/>
          </w:tcPr>
          <w:p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</w:r>
            <w:r>
              <w:rPr>
                <w:color w:val="000000"/>
                <w:sz w:val="22"/>
                <w:szCs w:val="22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ind w:right="-38"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ind w:right="-38"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FreeSerif" w:hAnsi="FreeSerif" w:cs="FreeSerif"/>
                <w:color w:val="000000"/>
                <w:sz w:val="24"/>
                <w:szCs w:val="24"/>
                <w:highlight w:val="yellow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b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color w:val="000000"/>
                <w:sz w:val="24"/>
                <w:szCs w:val="24"/>
              </w:rPr>
              <w:t xml:space="preserve">Налоговые доходы</w:t>
            </w:r>
            <w:r>
              <w:rPr>
                <w:rFonts w:ascii="FreeSerif" w:hAnsi="FreeSerif" w:cs="Free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782118,2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1328444,5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1364889,9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1387355,9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1374575,5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</w:tr>
      <w:tr>
        <w:tblPrEx/>
        <w:trPr>
          <w:trHeight w:val="13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i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i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i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i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i/>
                <w:color w:val="000000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i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 на прибыль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45280,1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46648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23155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24011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24881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 на доходы физических лиц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514528,5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812303,1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ind w:left="200" w:hanging="200"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909458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870424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846948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Госпошлина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12052,8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23200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26010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27061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Акцизы на автомобильный бензин, дизельное топливо, моторные масла по дифференцированным нормативам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42259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47264,9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62854,9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64342,5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Единый налог на вмененный доход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142197,8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163828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147900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150858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153875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Единый сельскохозяйственный налог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44085,2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95636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59928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85301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87007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Патенты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21191,5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23155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24000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24480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24970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 на имущество организаций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2630,3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2593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2632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2684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2738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Налог на имущество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физических лиц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50341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54060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59884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60987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Земельный налог физических лиц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33867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33150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42250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42926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7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Земельный налог юридических лиц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34614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37332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38079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38840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2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b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color w:val="000000"/>
                <w:sz w:val="24"/>
                <w:szCs w:val="24"/>
              </w:rPr>
              <w:t xml:space="preserve">Неналоговые доходы</w:t>
            </w:r>
            <w:r>
              <w:rPr>
                <w:rFonts w:ascii="FreeSerif" w:hAnsi="FreeSerif" w:cs="FreeSerif"/>
                <w:b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000000" w:sz="8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66949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45092,1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34222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35385,6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b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/>
                <w:sz w:val="24"/>
                <w:szCs w:val="24"/>
              </w:rPr>
              <w:t xml:space="preserve">35339,6</w:t>
            </w:r>
            <w:r>
              <w:rPr>
                <w:rFonts w:ascii="FreeSerif" w:hAnsi="FreeSerif" w:cs="FreeSerif"/>
                <w:b/>
                <w:sz w:val="24"/>
                <w:szCs w:val="24"/>
              </w:rPr>
            </w:r>
          </w:p>
        </w:tc>
      </w:tr>
      <w:tr>
        <w:tblPrEx/>
        <w:trPr>
          <w:trHeight w:val="27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i/>
                <w:color w:val="000000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Арендная плата за землю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27584,5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27866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30246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31456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31456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Проценты по кредитам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Доходы от сдачи имущества в аренду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759,0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Доходы от перечисления части прибыли МУП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Доходы от продажи земельных участков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9595,1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5016,4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Прочие доходы от использования имущества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8339,3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3832,9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1016,4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970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924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Доходы от продажи имущества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Плата за негативное воздействие на окружающую среду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3189,2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3430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Прочие доходы от оказания платных услуг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3886,6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1975,9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1269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1269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1269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Доходы от компенсации затрат бюджетов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Административные штрафы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13453,4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1644,0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682,6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9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0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006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Невыясненные поступления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8" w:space="0"/>
            </w:tcBorders>
            <w:tcW w:w="116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217,9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4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192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000000" w:sz="8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682"/>
        <w:contextualSpacing/>
        <w:jc w:val="center"/>
        <w:spacing w:line="240" w:lineRule="auto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основе расчетов формирования доходной базы бюджета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 год учтены прогнозные данные администраторов доходов бюджета, которые были предоставлены на основании Порядка формирования и представления главными администраторами доходов бюджета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структуре налоговых и неналоговых доходов основная сумма поступлений в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 году планируется по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доходным источникам: по налог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доходы физических лиц </w:t>
      </w:r>
      <w:r>
        <w:rPr>
          <w:rFonts w:ascii="FreeSerif" w:hAnsi="FreeSerif" w:eastAsia="FreeSerif" w:cs="FreeSerif"/>
          <w:sz w:val="28"/>
          <w:szCs w:val="28"/>
        </w:rPr>
        <w:t xml:space="preserve">65</w:t>
      </w:r>
      <w:r>
        <w:rPr>
          <w:rFonts w:ascii="FreeSerif" w:hAnsi="FreeSerif" w:eastAsia="FreeSerif" w:cs="FreeSerif"/>
          <w:sz w:val="28"/>
          <w:szCs w:val="28"/>
        </w:rPr>
        <w:t xml:space="preserve">%, УСН </w:t>
      </w:r>
      <w:r>
        <w:rPr>
          <w:rFonts w:ascii="FreeSerif" w:hAnsi="FreeSerif" w:eastAsia="FreeSerif" w:cs="FreeSerif"/>
          <w:sz w:val="28"/>
          <w:szCs w:val="28"/>
        </w:rPr>
        <w:t xml:space="preserve">11</w:t>
      </w:r>
      <w:r>
        <w:rPr>
          <w:rFonts w:ascii="FreeSerif" w:hAnsi="FreeSerif" w:eastAsia="FreeSerif" w:cs="FreeSerif"/>
          <w:sz w:val="28"/>
          <w:szCs w:val="28"/>
        </w:rPr>
        <w:t xml:space="preserve">%, ЕСХН 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%, налога на </w:t>
      </w:r>
      <w:r>
        <w:rPr>
          <w:rFonts w:ascii="FreeSerif" w:hAnsi="FreeSerif" w:eastAsia="FreeSerif" w:cs="FreeSerif"/>
          <w:sz w:val="28"/>
          <w:szCs w:val="28"/>
        </w:rPr>
        <w:t xml:space="preserve">имущество физических лиц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 %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tabs>
          <w:tab w:val="left" w:pos="2694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2.1. Налог на прибыль организаций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Объем поступлений налога на прибыль в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году предусматривается в сумме </w:t>
      </w:r>
      <w:r>
        <w:rPr>
          <w:rFonts w:ascii="FreeSerif" w:hAnsi="FreeSerif" w:eastAsia="FreeSerif" w:cs="FreeSerif"/>
          <w:sz w:val="28"/>
          <w:szCs w:val="28"/>
        </w:rPr>
        <w:t xml:space="preserve">23,2</w:t>
      </w:r>
      <w:r>
        <w:rPr>
          <w:rFonts w:ascii="FreeSerif" w:hAnsi="FreeSerif" w:eastAsia="FreeSerif" w:cs="FreeSerif"/>
          <w:sz w:val="28"/>
          <w:szCs w:val="28"/>
        </w:rPr>
        <w:t xml:space="preserve"> млн. рублей, что составляет </w:t>
      </w:r>
      <w:r>
        <w:rPr>
          <w:rFonts w:ascii="FreeSerif" w:hAnsi="FreeSerif" w:eastAsia="FreeSerif" w:cs="FreeSerif"/>
          <w:sz w:val="28"/>
          <w:szCs w:val="28"/>
        </w:rPr>
        <w:t xml:space="preserve">половину </w:t>
      </w:r>
      <w:r>
        <w:rPr>
          <w:rFonts w:ascii="FreeSerif" w:hAnsi="FreeSerif" w:eastAsia="FreeSerif" w:cs="FreeSerif"/>
          <w:sz w:val="28"/>
          <w:szCs w:val="28"/>
        </w:rPr>
        <w:t xml:space="preserve">первоначальн</w:t>
      </w:r>
      <w:r>
        <w:rPr>
          <w:rFonts w:ascii="FreeSerif" w:hAnsi="FreeSerif" w:eastAsia="FreeSerif" w:cs="FreeSerif"/>
          <w:sz w:val="28"/>
          <w:szCs w:val="28"/>
        </w:rPr>
        <w:t xml:space="preserve">ых</w:t>
      </w:r>
      <w:r>
        <w:rPr>
          <w:rFonts w:ascii="FreeSerif" w:hAnsi="FreeSerif" w:eastAsia="FreeSerif" w:cs="FreeSerif"/>
          <w:sz w:val="28"/>
          <w:szCs w:val="28"/>
        </w:rPr>
        <w:t xml:space="preserve"> плановы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назначени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 налога на прибыль в 202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году</w:t>
      </w:r>
      <w:r>
        <w:rPr>
          <w:rFonts w:ascii="FreeSerif" w:hAnsi="FreeSerif" w:eastAsia="FreeSerif" w:cs="FreeSerif"/>
          <w:sz w:val="28"/>
          <w:szCs w:val="28"/>
        </w:rPr>
        <w:t xml:space="preserve"> (в связи с отсутствием поступлений по О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О «Агроторг</w:t>
      </w:r>
      <w:r>
        <w:rPr>
          <w:rFonts w:ascii="FreeSerif" w:hAnsi="FreeSerif" w:eastAsia="FreeSerif" w:cs="FreeSerif"/>
          <w:sz w:val="28"/>
          <w:szCs w:val="28"/>
        </w:rPr>
        <w:t xml:space="preserve">, так как в 2026 году перечисление прибыли планируется по месту </w:t>
      </w:r>
      <w:r>
        <w:rPr>
          <w:rFonts w:ascii="FreeSerif" w:hAnsi="FreeSerif" w:eastAsia="FreeSerif" w:cs="FreeSerif"/>
          <w:sz w:val="28"/>
          <w:szCs w:val="28"/>
        </w:rPr>
        <w:t xml:space="preserve">постановки на налоговый учет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eastAsia="FreeSerif" w:cs="FreeSerif"/>
          <w:sz w:val="28"/>
          <w:szCs w:val="28"/>
          <w:highlight w:val="yellow"/>
        </w:rPr>
        <w:t xml:space="preserve"> </w:t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" w:name="_Hlk149319866"/>
      <w:r>
        <w:rPr>
          <w:rFonts w:ascii="FreeSerif" w:hAnsi="FreeSerif" w:eastAsia="FreeSerif" w:cs="FreeSerif"/>
          <w:sz w:val="28"/>
          <w:szCs w:val="28"/>
        </w:rPr>
        <w:t xml:space="preserve">Расчет поступления налога на прибыль организаций в бюджет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</w:t>
      </w:r>
      <w:r>
        <w:rPr>
          <w:rFonts w:ascii="FreeSerif" w:hAnsi="FreeSerif" w:eastAsia="FreeSerif" w:cs="FreeSerif"/>
          <w:sz w:val="28"/>
          <w:szCs w:val="28"/>
        </w:rPr>
        <w:t xml:space="preserve">основан на прогнозе администратора этого дохода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и плановый период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-202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 МРИ ФНС № 2 по Краснодарскому краю.</w:t>
      </w:r>
      <w:bookmarkEnd w:id="1"/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</w:rPr>
        <w:t xml:space="preserve"> 2.2. Налог на доходы физических лиц</w:t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Предусматривается поступление налога на доходы физических лиц в бюджет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в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</w:t>
      </w:r>
      <w:r>
        <w:rPr>
          <w:rFonts w:ascii="FreeSerif" w:hAnsi="FreeSerif" w:eastAsia="FreeSerif" w:cs="FreeSerif"/>
          <w:sz w:val="28"/>
          <w:szCs w:val="28"/>
        </w:rPr>
        <w:t xml:space="preserve">оду</w:t>
      </w:r>
      <w:r>
        <w:rPr>
          <w:rFonts w:ascii="FreeSerif" w:hAnsi="FreeSerif" w:eastAsia="FreeSerif" w:cs="FreeSerif"/>
          <w:sz w:val="28"/>
          <w:szCs w:val="28"/>
        </w:rPr>
        <w:t xml:space="preserve"> в сумме </w:t>
      </w:r>
      <w:r>
        <w:rPr>
          <w:rFonts w:ascii="FreeSerif" w:hAnsi="FreeSerif" w:eastAsia="FreeSerif" w:cs="FreeSerif"/>
          <w:sz w:val="28"/>
          <w:szCs w:val="28"/>
        </w:rPr>
        <w:t xml:space="preserve">909,5</w:t>
      </w:r>
      <w:r>
        <w:rPr>
          <w:rFonts w:ascii="FreeSerif" w:hAnsi="FreeSerif" w:eastAsia="FreeSerif" w:cs="FreeSerif"/>
          <w:sz w:val="28"/>
          <w:szCs w:val="28"/>
        </w:rPr>
        <w:t xml:space="preserve"> млн. руб.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Темп роста поступлений к соответствующему периоду 202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года планируется в размере </w:t>
      </w:r>
      <w:r>
        <w:rPr>
          <w:rFonts w:ascii="FreeSerif" w:hAnsi="FreeSerif" w:eastAsia="FreeSerif" w:cs="FreeSerif"/>
          <w:sz w:val="28"/>
          <w:szCs w:val="28"/>
        </w:rPr>
        <w:t xml:space="preserve">112</w:t>
      </w:r>
      <w:r>
        <w:rPr>
          <w:rFonts w:ascii="FreeSerif" w:hAnsi="FreeSerif" w:eastAsia="FreeSerif" w:cs="FreeSerif"/>
          <w:sz w:val="28"/>
          <w:szCs w:val="28"/>
        </w:rPr>
        <w:t xml:space="preserve">%. </w:t>
      </w:r>
      <w:r>
        <w:rPr>
          <w:rFonts w:ascii="FreeSerif" w:hAnsi="FreeSerif" w:eastAsia="FreeSerif" w:cs="FreeSerif"/>
          <w:sz w:val="28"/>
          <w:szCs w:val="28"/>
        </w:rPr>
        <w:t xml:space="preserve">Такой темп роста обусловлен образованием Ленинградского муниципального округа и соответственно дополнительными процентами зачисления данного налогового дохода в бюджет округа.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Расчет поступления налога на доходы физических лиц в бюджет</w:t>
      </w:r>
      <w:r>
        <w:rPr>
          <w:rFonts w:ascii="FreeSerif" w:hAnsi="FreeSerif" w:eastAsia="FreeSerif" w:cs="FreeSerif"/>
          <w:sz w:val="28"/>
          <w:szCs w:val="28"/>
        </w:rPr>
        <w:t xml:space="preserve"> округа</w:t>
      </w:r>
      <w:r>
        <w:rPr>
          <w:rFonts w:ascii="FreeSerif" w:hAnsi="FreeSerif" w:eastAsia="FreeSerif" w:cs="FreeSerif"/>
          <w:sz w:val="28"/>
          <w:szCs w:val="28"/>
        </w:rPr>
        <w:t xml:space="preserve"> основан на прогнозе администратора этого дохода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и плановый период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-202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 МРИ ФНС № 2 по Краснодарскому краю.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2.3. Единый сельскохозяйственный налог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Поступления по единому сельскохозяйственному налогу планируется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сумме </w:t>
      </w:r>
      <w:r>
        <w:rPr>
          <w:rFonts w:ascii="FreeSerif" w:hAnsi="FreeSerif" w:eastAsia="FreeSerif" w:cs="FreeSerif"/>
          <w:sz w:val="28"/>
          <w:szCs w:val="28"/>
        </w:rPr>
        <w:t xml:space="preserve">59,9</w:t>
      </w:r>
      <w:r>
        <w:rPr>
          <w:rFonts w:ascii="FreeSerif" w:hAnsi="FreeSerif" w:eastAsia="FreeSerif" w:cs="FreeSerif"/>
          <w:sz w:val="28"/>
          <w:szCs w:val="28"/>
        </w:rPr>
        <w:t xml:space="preserve"> млн. руб., что </w:t>
      </w:r>
      <w:r>
        <w:rPr>
          <w:rFonts w:ascii="FreeSerif" w:hAnsi="FreeSerif" w:eastAsia="FreeSerif" w:cs="FreeSerif"/>
          <w:sz w:val="28"/>
          <w:szCs w:val="28"/>
        </w:rPr>
        <w:t xml:space="preserve">меньше</w:t>
      </w:r>
      <w:r>
        <w:rPr>
          <w:rFonts w:ascii="FreeSerif" w:hAnsi="FreeSerif" w:eastAsia="FreeSerif" w:cs="FreeSerif"/>
          <w:sz w:val="28"/>
          <w:szCs w:val="28"/>
        </w:rPr>
        <w:t xml:space="preserve"> от ожидаемых поступлений 202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года</w:t>
      </w:r>
      <w:r>
        <w:rPr>
          <w:rFonts w:ascii="FreeSerif" w:hAnsi="FreeSerif" w:eastAsia="FreeSerif" w:cs="FreeSerif"/>
          <w:sz w:val="28"/>
          <w:szCs w:val="28"/>
        </w:rPr>
        <w:t xml:space="preserve"> на 35,7 млн. руб., что объясняется введением ЧС на территории Ленинградского муниципального округа в 2025 году и уменьшением налоговой базы плательщиков данного налогового источника в 2026 году.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8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Прогноз поступлений ЕСХН произведен исходя из </w:t>
      </w:r>
      <w:r>
        <w:rPr>
          <w:rFonts w:ascii="FreeSerif" w:hAnsi="FreeSerif" w:eastAsia="FreeSerif" w:cs="FreeSerif"/>
          <w:sz w:val="28"/>
          <w:szCs w:val="28"/>
        </w:rPr>
        <w:t xml:space="preserve">прогноз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администратора этого дохода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и плановый период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-202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 МРИ ФНС № 2 по Краснодарскому краю.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</w:t>
      </w:r>
      <w:r>
        <w:rPr>
          <w:rFonts w:ascii="FreeSerif" w:hAnsi="FreeSerif" w:eastAsia="FreeSerif" w:cs="FreeSerif"/>
          <w:sz w:val="28"/>
          <w:szCs w:val="28"/>
        </w:rPr>
        <w:t xml:space="preserve">2.4 Налог, взимаемый в связи с применением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упрощенной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истемы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налогообложения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Поступление налога, взимаемого в связи с применением упрощенной системы налогообложения, прогнозируется в сумме </w:t>
      </w:r>
      <w:r>
        <w:rPr>
          <w:rFonts w:ascii="FreeSerif" w:hAnsi="FreeSerif" w:eastAsia="FreeSerif" w:cs="FreeSerif"/>
          <w:sz w:val="28"/>
          <w:szCs w:val="28"/>
        </w:rPr>
        <w:t xml:space="preserve">147,9</w:t>
      </w:r>
      <w:r>
        <w:rPr>
          <w:rFonts w:ascii="FreeSerif" w:hAnsi="FreeSerif" w:eastAsia="FreeSerif" w:cs="FreeSerif"/>
          <w:sz w:val="28"/>
          <w:szCs w:val="28"/>
        </w:rPr>
        <w:t xml:space="preserve"> млн.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Прогноз поступлений по упрощенной системе налогообложения произведен исходя из прогноза администратора этого дохода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и плановый период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-202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 МРИ ФНС № 2 по Краснодарскому краю.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widowControl w:val="off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ind w:firstLine="709"/>
        <w:jc w:val="center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2.5 Налог, взимаемый в связи с применением патентной системы налогообложения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Расчет прогнозируемого поступления</w:t>
      </w:r>
      <w:r>
        <w:rPr>
          <w:rFonts w:ascii="FreeSerif" w:hAnsi="FreeSerif" w:eastAsia="FreeSerif" w:cs="FreeSerif"/>
          <w:sz w:val="28"/>
          <w:szCs w:val="28"/>
        </w:rPr>
        <w:t xml:space="preserve"> налога, взимаемого в связи с применением патентной системы налогообложения, произведен исходя из прогноза администратора этого дохода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и плановый период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-202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 МРИ ФНС № 2 по Краснодарскому краю, в размере </w:t>
      </w:r>
      <w:r>
        <w:rPr>
          <w:rFonts w:ascii="FreeSerif" w:hAnsi="FreeSerif" w:eastAsia="FreeSerif" w:cs="FreeSerif"/>
          <w:sz w:val="28"/>
          <w:szCs w:val="28"/>
        </w:rPr>
        <w:t xml:space="preserve">104</w:t>
      </w:r>
      <w:r>
        <w:rPr>
          <w:rFonts w:ascii="FreeSerif" w:hAnsi="FreeSerif" w:eastAsia="FreeSerif" w:cs="FreeSerif"/>
          <w:sz w:val="28"/>
          <w:szCs w:val="28"/>
        </w:rPr>
        <w:t xml:space="preserve">% от первоначального плана 202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года и планируется в сумме </w:t>
      </w:r>
      <w:r>
        <w:rPr>
          <w:rFonts w:ascii="FreeSerif" w:hAnsi="FreeSerif" w:eastAsia="FreeSerif" w:cs="FreeSerif"/>
          <w:sz w:val="28"/>
          <w:szCs w:val="28"/>
        </w:rPr>
        <w:t xml:space="preserve">24,0</w:t>
      </w:r>
      <w:r>
        <w:rPr>
          <w:rFonts w:ascii="FreeSerif" w:hAnsi="FreeSerif" w:eastAsia="FreeSerif" w:cs="FreeSerif"/>
          <w:sz w:val="28"/>
          <w:szCs w:val="28"/>
        </w:rPr>
        <w:t xml:space="preserve"> млн. руб.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Темп роста поступлений к соответствующему периоду 2025 года планируется в размере 11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%.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2.6. Государственная пошлина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Расчет прогнозируемого поспупления  по государственной  пошлине осуществлен на основании прогноза предоставленного администратором данного дохода – МРИ ФНС № 2 по Краснодарскому краю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и планируется на уровне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26,0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млн. руб.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, что в 3 раза превышает первоначальный план на 2025 год по данному доходному источнику ( в связи с увеличением тарифов по госпошлине в разных сферах).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2.7. Арендная плата за землю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Прогноз поступлений арендной платы за землю произведен на </w:t>
      </w:r>
      <w:r>
        <w:rPr>
          <w:rFonts w:ascii="FreeSerif" w:hAnsi="FreeSerif" w:eastAsia="FreeSerif" w:cs="FreeSerif"/>
          <w:sz w:val="28"/>
          <w:szCs w:val="28"/>
        </w:rPr>
        <w:t xml:space="preserve">основании порядка определения размера арендной платы, установленной правовыми </w:t>
      </w:r>
      <w:r>
        <w:rPr>
          <w:rFonts w:ascii="FreeSerif" w:hAnsi="FreeSerif" w:eastAsia="FreeSerif" w:cs="FreeSerif"/>
          <w:sz w:val="28"/>
          <w:szCs w:val="28"/>
        </w:rPr>
        <w:t xml:space="preserve">актами Российской Федерации, Краснодарского края,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с учётом действующих ставок в разрезе категорий земель, данных Федеральной службы государственной регистрации, кадастра и картографии по Краснодарскому краю о площадях земельных участков, </w:t>
      </w:r>
      <w:r>
        <w:rPr>
          <w:rFonts w:ascii="FreeSerif" w:hAnsi="FreeSerif" w:eastAsia="FreeSerif" w:cs="FreeSerif"/>
          <w:sz w:val="28"/>
          <w:szCs w:val="28"/>
        </w:rPr>
        <w:t xml:space="preserve">прогноза</w:t>
      </w:r>
      <w:r>
        <w:rPr>
          <w:rFonts w:ascii="FreeSerif" w:hAnsi="FreeSerif" w:eastAsia="FreeSerif" w:cs="FreeSerif"/>
          <w:sz w:val="28"/>
          <w:szCs w:val="28"/>
        </w:rPr>
        <w:t xml:space="preserve"> отдела имущественных отношений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с использованием единой краевой базы данных лицевых счетов плательщиков арендной платы за землю</w:t>
      </w:r>
      <w:r>
        <w:rPr>
          <w:rFonts w:ascii="FreeSerif" w:hAnsi="FreeSerif" w:eastAsia="FreeSerif" w:cs="FreeSerif"/>
          <w:sz w:val="28"/>
          <w:szCs w:val="28"/>
        </w:rPr>
        <w:t xml:space="preserve"> на 2026 год и плановый период 2027-2028 годов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Планируемые поступления в 202</w:t>
      </w:r>
      <w:r>
        <w:rPr>
          <w:rFonts w:ascii="FreeSerif" w:hAnsi="FreeSerif" w:eastAsia="FreeSerif" w:cs="FreeSerif"/>
          <w:sz w:val="28"/>
          <w:szCs w:val="28"/>
        </w:rPr>
        <w:t xml:space="preserve">6 </w:t>
      </w:r>
      <w:r>
        <w:rPr>
          <w:rFonts w:ascii="FreeSerif" w:hAnsi="FreeSerif" w:eastAsia="FreeSerif" w:cs="FreeSerif"/>
          <w:sz w:val="28"/>
          <w:szCs w:val="28"/>
        </w:rPr>
        <w:t xml:space="preserve">году составят </w:t>
      </w:r>
      <w:r>
        <w:rPr>
          <w:rFonts w:ascii="FreeSerif" w:hAnsi="FreeSerif" w:eastAsia="FreeSerif" w:cs="FreeSerif"/>
          <w:sz w:val="28"/>
          <w:szCs w:val="28"/>
        </w:rPr>
        <w:t xml:space="preserve">30,2</w:t>
      </w:r>
      <w:r>
        <w:rPr>
          <w:rFonts w:ascii="FreeSerif" w:hAnsi="FreeSerif" w:eastAsia="FreeSerif" w:cs="FreeSerif"/>
          <w:sz w:val="28"/>
          <w:szCs w:val="28"/>
        </w:rPr>
        <w:t xml:space="preserve"> млн. руб.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Темп роста поступлений к ожидаемому поступлению 202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года составит 10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%, за счет планируемого погашения задолженности прошлых лет и вовлечения в оборот неиспользуемых (используемых без правоустанавливающих документов) земельных участков.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основу расчета поступления</w:t>
      </w:r>
      <w:r>
        <w:rPr>
          <w:rFonts w:ascii="FreeSerif" w:hAnsi="FreeSerif" w:eastAsia="FreeSerif" w:cs="FreeSerif"/>
          <w:sz w:val="28"/>
          <w:szCs w:val="28"/>
        </w:rPr>
        <w:t xml:space="preserve"> арендной платы за землю приняты оценка поступления доходов в 202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 году, коэффициент инфляции, установленный законодательством Российской Федерации, оценка погашения задолженности, изменения кадастровой стоимости земель сельскохозяйственного назначения и земель населенных пунктов.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2.8 Доходы от сдачи в аренду имущества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Поступление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бюджет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доходов от сдачи в аренду имущества, находящегося в муниципальной собственности, предусматривается в сумме </w:t>
      </w:r>
      <w:r>
        <w:rPr>
          <w:rFonts w:ascii="FreeSerif" w:hAnsi="FreeSerif" w:eastAsia="FreeSerif" w:cs="FreeSerif"/>
          <w:sz w:val="28"/>
          <w:szCs w:val="28"/>
        </w:rPr>
        <w:t xml:space="preserve">1,0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млн</w:t>
      </w:r>
      <w:r>
        <w:rPr>
          <w:rFonts w:ascii="FreeSerif" w:hAnsi="FreeSerif" w:eastAsia="FreeSerif" w:cs="FreeSerif"/>
          <w:sz w:val="28"/>
          <w:szCs w:val="28"/>
        </w:rPr>
        <w:t xml:space="preserve">. руб. Расчет произведен на основании заключенных договоров</w:t>
      </w:r>
      <w:r>
        <w:rPr>
          <w:rFonts w:ascii="FreeSerif" w:hAnsi="FreeSerif" w:eastAsia="FreeSerif" w:cs="FreeSerif"/>
          <w:sz w:val="28"/>
          <w:szCs w:val="28"/>
        </w:rPr>
        <w:t xml:space="preserve"> и предоставленного прогноза администратора данного налога.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. Поступления от административных штрафов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 xml:space="preserve">Прогноз доходов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округа </w:t>
      </w:r>
      <w:r>
        <w:rPr>
          <w:rFonts w:ascii="FreeSerif" w:hAnsi="FreeSerif" w:eastAsia="FreeSerif" w:cs="FreeSerif"/>
          <w:sz w:val="28"/>
          <w:szCs w:val="28"/>
        </w:rPr>
        <w:t xml:space="preserve">поступления от административных штрафов </w:t>
      </w:r>
      <w:r>
        <w:rPr>
          <w:rFonts w:ascii="FreeSerif" w:hAnsi="FreeSerif" w:eastAsia="FreeSerif" w:cs="FreeSerif"/>
          <w:sz w:val="28"/>
          <w:szCs w:val="28"/>
        </w:rPr>
        <w:t xml:space="preserve">составлен на </w:t>
      </w:r>
      <w:r>
        <w:rPr>
          <w:rFonts w:ascii="FreeSerif" w:hAnsi="FreeSerif" w:eastAsia="FreeSerif" w:cs="FreeSerif"/>
          <w:sz w:val="28"/>
          <w:szCs w:val="28"/>
        </w:rPr>
        <w:t xml:space="preserve">основании внесения изменений в статью 46 Бюджетного кодекса РФ в части изменений по уровням бюджета и сведений по администраторам доходов. Прогнозируемое поступление </w:t>
      </w:r>
      <w:r>
        <w:rPr>
          <w:rFonts w:ascii="FreeSerif" w:hAnsi="FreeSerif" w:eastAsia="FreeSerif" w:cs="FreeSerif"/>
          <w:sz w:val="28"/>
          <w:szCs w:val="28"/>
        </w:rPr>
        <w:t xml:space="preserve">на 2026 год </w:t>
      </w:r>
      <w:r>
        <w:rPr>
          <w:rFonts w:ascii="FreeSerif" w:hAnsi="FreeSerif" w:eastAsia="FreeSerif" w:cs="FreeSerif"/>
          <w:sz w:val="28"/>
          <w:szCs w:val="28"/>
        </w:rPr>
        <w:t xml:space="preserve">составляет </w:t>
      </w:r>
      <w:r>
        <w:rPr>
          <w:rFonts w:ascii="FreeSerif" w:hAnsi="FreeSerif" w:eastAsia="FreeSerif" w:cs="FreeSerif"/>
          <w:sz w:val="28"/>
          <w:szCs w:val="28"/>
        </w:rPr>
        <w:t xml:space="preserve">0,7 </w:t>
      </w:r>
      <w:r>
        <w:rPr>
          <w:rFonts w:ascii="FreeSerif" w:hAnsi="FreeSerif" w:eastAsia="FreeSerif" w:cs="FreeSerif"/>
          <w:sz w:val="28"/>
          <w:szCs w:val="28"/>
        </w:rPr>
        <w:t xml:space="preserve">млн. руб.,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согласно сведений администраторов доходов.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z w:val="28"/>
          <w:szCs w:val="28"/>
        </w:rPr>
        <w:t xml:space="preserve">10. </w:t>
      </w:r>
      <w:r>
        <w:rPr>
          <w:rFonts w:ascii="FreeSerif" w:hAnsi="FreeSerif" w:eastAsia="FreeSerif" w:cs="FreeSerif"/>
          <w:sz w:val="28"/>
          <w:szCs w:val="28"/>
        </w:rPr>
        <w:t xml:space="preserve"> По доходам от оказания платных услуг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Поступление</w:t>
      </w:r>
      <w:r>
        <w:rPr>
          <w:rFonts w:ascii="FreeSerif" w:hAnsi="FreeSerif" w:eastAsia="FreeSerif" w:cs="FreeSerif"/>
          <w:sz w:val="28"/>
          <w:szCs w:val="28"/>
        </w:rPr>
        <w:t xml:space="preserve"> доходов от оказания платных услуг на 202</w:t>
      </w:r>
      <w:r>
        <w:rPr>
          <w:rFonts w:ascii="FreeSerif" w:hAnsi="FreeSerif" w:eastAsia="FreeSerif" w:cs="FreeSerif"/>
          <w:sz w:val="28"/>
          <w:szCs w:val="28"/>
        </w:rPr>
        <w:t xml:space="preserve">6 </w:t>
      </w:r>
      <w:r>
        <w:rPr>
          <w:rFonts w:ascii="FreeSerif" w:hAnsi="FreeSerif" w:eastAsia="FreeSerif" w:cs="FreeSerif"/>
          <w:sz w:val="28"/>
          <w:szCs w:val="28"/>
        </w:rPr>
        <w:t xml:space="preserve">год  прогнозируется в сумме </w:t>
      </w:r>
      <w:r>
        <w:rPr>
          <w:rFonts w:ascii="FreeSerif" w:hAnsi="FreeSerif" w:eastAsia="FreeSerif" w:cs="FreeSerif"/>
          <w:sz w:val="28"/>
          <w:szCs w:val="28"/>
        </w:rPr>
        <w:t xml:space="preserve">1,3</w:t>
      </w:r>
      <w:r>
        <w:rPr>
          <w:rFonts w:ascii="FreeSerif" w:hAnsi="FreeSerif" w:eastAsia="FreeSerif" w:cs="FreeSerif"/>
          <w:sz w:val="28"/>
          <w:szCs w:val="28"/>
        </w:rPr>
        <w:t xml:space="preserve"> млн.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основу расчета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поступления</w:t>
      </w:r>
      <w:r>
        <w:rPr>
          <w:rFonts w:ascii="FreeSerif" w:hAnsi="FreeSerif" w:eastAsia="FreeSerif" w:cs="FreeSerif"/>
          <w:sz w:val="28"/>
          <w:szCs w:val="28"/>
        </w:rPr>
        <w:t xml:space="preserve"> доходов от оказания платных услуг принят прогноз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отраслевых (функциональных) органов администрации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и муниципальных учреждений, осуществляющих исполнение функции бюджетных полномочий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администраторов доходов администрации Ленинградск</w:t>
      </w:r>
      <w:r>
        <w:rPr>
          <w:rFonts w:ascii="FreeSerif" w:hAnsi="FreeSerif" w:eastAsia="FreeSerif" w:cs="FreeSerif"/>
          <w:sz w:val="28"/>
          <w:szCs w:val="28"/>
        </w:rPr>
        <w:t xml:space="preserve">ого муниципального округа.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2.1</w:t>
      </w: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 По доходам от продажи имущества и земельных участков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Вследствие заявительного характера выкупа земельных участков на основании сведений отдела имущественных отношений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прогноз по продаже земельных участков не производится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</w:t>
      </w:r>
      <w:r>
        <w:rPr>
          <w:rFonts w:ascii="FreeSerif" w:hAnsi="FreeSerif" w:eastAsia="FreeSerif" w:cs="FreeSerif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налогу на имущество организаций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Прогнозируемое поступление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в 2026 году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по налогу на имущество организаций планируется в сумме 2,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6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млн. руб. В основу расчета поступления налога, приняты </w:t>
      </w:r>
      <w:r>
        <w:rPr>
          <w:rFonts w:ascii="FreeSerif" w:hAnsi="FreeSerif" w:eastAsia="FreeSerif" w:cs="FreeSerif"/>
          <w:sz w:val="28"/>
          <w:szCs w:val="28"/>
        </w:rPr>
        <w:t xml:space="preserve">данные администратора дохода МРИ ФНС №2 по Краснодарскому краю. </w:t>
      </w:r>
      <w:r>
        <w:rPr>
          <w:rFonts w:ascii="FreeSerif" w:hAnsi="FreeSerif" w:eastAsia="FreeSerif" w:cs="FreeSerif"/>
          <w:sz w:val="28"/>
          <w:szCs w:val="28"/>
        </w:rPr>
        <w:t xml:space="preserve">Темп роста к 2025 году составит 102%.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</w:t>
      </w:r>
      <w:r>
        <w:rPr>
          <w:rFonts w:ascii="FreeSerif" w:hAnsi="FreeSerif" w:eastAsia="FreeSerif" w:cs="FreeSerif"/>
          <w:sz w:val="28"/>
          <w:szCs w:val="28"/>
        </w:rPr>
        <w:t xml:space="preserve">3.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налогу на имущество физических лиц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Прогнозируемое поступление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в 2026 году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по налогу на имущество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физических лиц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планируется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54,1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млн. руб.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В соответствии с образованием муниципального округа планируется зачисление по нормативу 100% в бюджет по данному доходному источнику.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В основу расчета поступления налога, приняты </w:t>
      </w:r>
      <w:r>
        <w:rPr>
          <w:rFonts w:ascii="FreeSerif" w:hAnsi="FreeSerif" w:eastAsia="FreeSerif" w:cs="FreeSerif"/>
          <w:sz w:val="28"/>
          <w:szCs w:val="28"/>
        </w:rPr>
        <w:t xml:space="preserve">данные администратора дохода МРИ ФНС №2 по Краснодарскому краю.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</w:t>
      </w:r>
      <w:r>
        <w:rPr>
          <w:rFonts w:ascii="FreeSerif" w:hAnsi="FreeSerif" w:eastAsia="FreeSerif" w:cs="FreeSerif"/>
          <w:sz w:val="28"/>
          <w:szCs w:val="28"/>
        </w:rPr>
        <w:t xml:space="preserve">4.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земельному налогу физических лиц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Прогнозируемое поступление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в 2026 году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по налогу на имущество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физических лиц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планируется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33,2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млн. руб.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В соответствии с образованием муниципального округа планируется зачисление по нормативу 100% в бюджет округа по данному доходному источнику.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В основу расчета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поступления налога, приняты </w:t>
      </w:r>
      <w:r>
        <w:rPr>
          <w:rFonts w:ascii="FreeSerif" w:hAnsi="FreeSerif" w:eastAsia="FreeSerif" w:cs="FreeSerif"/>
          <w:sz w:val="28"/>
          <w:szCs w:val="28"/>
        </w:rPr>
        <w:t xml:space="preserve">данные администратора дохода МРИ ФНС №2 по Краснодарскому краю.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2.15. Плата за негативное воздействие на окружающую среду.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Поступление по данному налоговому источнику на 2026 год не планируется, так как согласно ФЗ № 488 от 26.12.2026 года и п.4 ст. 1 БК РФ с 1 января 2026 года </w:t>
      </w:r>
      <w:r>
        <w:rPr>
          <w:rFonts w:ascii="FreeSerif" w:hAnsi="FreeSerif" w:eastAsia="FreeSerif" w:cs="FreeSerif"/>
          <w:sz w:val="28"/>
          <w:szCs w:val="28"/>
        </w:rPr>
        <w:t xml:space="preserve">региональные бюджеты будет поступать 100 процентов платы за НВОС. Субъекты будут распределять средства в местные бюджеты самостоятельно.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2.1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Безвозмездные поступления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составе доходов бюджета предусматриваются безвозмездные поступления из бюджетов других уровней. Объём указанных средств, предусмотренный проектом решения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-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годы характеризуется показателями, приведенными в таблице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тыс. рублей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418"/>
        <w:gridCol w:w="1446"/>
        <w:gridCol w:w="1530"/>
      </w:tblGrid>
      <w:tr>
        <w:tblPrEx/>
        <w:trPr>
          <w:trHeight w:val="550"/>
        </w:trPr>
        <w:tc>
          <w:tcPr>
            <w:tcW w:w="5245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дохода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24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Безвозмездные поступления, всего: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1770948,3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1788586,0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bCs/>
                <w:sz w:val="24"/>
                <w:szCs w:val="24"/>
              </w:rPr>
              <w:t xml:space="preserve">1744015,7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484"/>
        </w:trPr>
        <w:tc>
          <w:tcPr>
            <w:tcW w:w="5245" w:type="dxa"/>
            <w:textDirection w:val="lrTb"/>
            <w:noWrap w:val="false"/>
          </w:tcPr>
          <w:p>
            <w:pPr>
              <w:contextualSpacing/>
              <w:jc w:val="both"/>
              <w:spacing w:line="240" w:lineRule="auto"/>
              <w:tabs>
                <w:tab w:val="left" w:pos="349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Дотации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198719,1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196788,3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203790,7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535"/>
        </w:trPr>
        <w:tc>
          <w:tcPr>
            <w:tcW w:w="524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170029,8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105151,3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41680,9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245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1402199,4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44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1486646,4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30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1498544,1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Общий объем безвозмездных поступлений из бюджета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запланирован с учетом показателей, предусмотренных в проекте закона «О  бюджете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 на 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годов». В последующем объёмы безвозмездных поступлений будут уточнены.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Дотация бюджету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выравнивание уровня бюджетной обеспеченности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предусмотрена в сумме </w:t>
      </w:r>
      <w:r>
        <w:rPr>
          <w:rFonts w:ascii="FreeSerif" w:hAnsi="FreeSerif" w:eastAsia="FreeSerif" w:cs="FreeSerif"/>
          <w:sz w:val="28"/>
          <w:szCs w:val="28"/>
        </w:rPr>
        <w:t xml:space="preserve">198719,1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Поступления в форме субсидий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предусмотрены в сумме </w:t>
      </w:r>
      <w:r>
        <w:rPr>
          <w:rFonts w:ascii="FreeSerif" w:hAnsi="FreeSerif" w:eastAsia="FreeSerif" w:cs="FreeSerif"/>
          <w:sz w:val="28"/>
          <w:szCs w:val="28"/>
        </w:rPr>
        <w:t xml:space="preserve">170029,8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Субвенции бюджету </w:t>
      </w:r>
      <w:r>
        <w:rPr>
          <w:rFonts w:ascii="FreeSerif" w:hAnsi="FreeSerif" w:eastAsia="FreeSerif" w:cs="FreeSerif"/>
          <w:sz w:val="28"/>
          <w:szCs w:val="28"/>
        </w:rPr>
        <w:t xml:space="preserve">округа </w:t>
      </w:r>
      <w:r>
        <w:rPr>
          <w:rFonts w:ascii="FreeSerif" w:hAnsi="FreeSerif" w:eastAsia="FreeSerif" w:cs="FreeSerif"/>
          <w:sz w:val="28"/>
          <w:szCs w:val="28"/>
        </w:rPr>
        <w:t xml:space="preserve">предусмотрены в сумме </w:t>
      </w:r>
      <w:r>
        <w:rPr>
          <w:rFonts w:ascii="FreeSerif" w:hAnsi="FreeSerif" w:eastAsia="FreeSerif" w:cs="FreeSerif"/>
          <w:sz w:val="28"/>
          <w:szCs w:val="28"/>
        </w:rPr>
        <w:t xml:space="preserve">1402199,4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из них значительную часть средств – </w:t>
      </w:r>
      <w:r>
        <w:rPr>
          <w:rFonts w:ascii="FreeSerif" w:hAnsi="FreeSerif" w:eastAsia="FreeSerif" w:cs="FreeSerif"/>
          <w:sz w:val="28"/>
          <w:szCs w:val="28"/>
        </w:rPr>
        <w:t xml:space="preserve">1270560,0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тысяч рублей составляет субвенция на выполнение передаваемых полномочий субъектов Российской Федерации.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 РАСХОДЫ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На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2026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год запланированы бюджетные ассигнования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3166517,7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на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2027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год –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3204242,5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на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2028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год –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3153930,8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рублей. Условно утвержденные расходы планируются на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2027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год в сумме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40312,0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рублей, на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2028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год –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80686,0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bCs/>
          <w:iCs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Формирование объема и структуры расходов бюджета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на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2026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 год осуществлялось исходя из следующих основных подходов: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определение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оплаты труда отдельных категорий работников бюджетной сферы с учетом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сохранения достигнутого соотношения между уровнем оплаты труда отдельных категорий работников бюджетной сферы и уровнем средней заработной платы в Краснодарском крае; повышения уровня минимального размера оплаты труда</w:t>
      </w:r>
      <w:r>
        <w:rPr>
          <w:rFonts w:ascii="FreeSerif" w:hAnsi="FreeSerif" w:eastAsia="FreeSerif" w:cs="FreeSerif"/>
          <w:bCs/>
          <w:iCs/>
          <w:sz w:val="28"/>
          <w:szCs w:val="28"/>
        </w:rPr>
        <w:t xml:space="preserve"> с 1 января </w:t>
      </w:r>
      <w:r>
        <w:rPr>
          <w:rFonts w:ascii="FreeSerif" w:hAnsi="FreeSerif" w:eastAsia="FreeSerif" w:cs="FreeSerif"/>
          <w:bCs/>
          <w:iCs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bCs/>
          <w:iCs/>
          <w:sz w:val="28"/>
          <w:szCs w:val="28"/>
        </w:rPr>
        <w:t xml:space="preserve"> года</w:t>
      </w:r>
      <w:r>
        <w:rPr>
          <w:rFonts w:ascii="FreeSerif" w:hAnsi="FreeSerif" w:eastAsia="FreeSerif" w:cs="FreeSerif"/>
          <w:bCs/>
          <w:iCs/>
          <w:sz w:val="28"/>
          <w:szCs w:val="28"/>
        </w:rPr>
        <w:t xml:space="preserve">.</w:t>
      </w:r>
      <w:r>
        <w:rPr>
          <w:rFonts w:ascii="FreeSerif" w:hAnsi="FreeSerif" w:eastAsia="FreeSerif" w:cs="FreeSerif"/>
          <w:bCs/>
          <w:iCs/>
          <w:sz w:val="28"/>
          <w:szCs w:val="28"/>
        </w:rPr>
        <w:t xml:space="preserve"> </w:t>
      </w:r>
      <w:r>
        <w:rPr>
          <w:rFonts w:ascii="FreeSerif" w:hAnsi="FreeSerif" w:cs="FreeSerif"/>
          <w:bCs/>
          <w:iCs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Расходы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бюджета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будут уточнены после распределения межбюджетных трансфертов из бюджета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Объёмы бюджетных ассигнований в разрезе разделов классификации расходов </w:t>
      </w:r>
      <w:r>
        <w:rPr>
          <w:rFonts w:ascii="FreeSerif" w:hAnsi="FreeSerif" w:eastAsia="FreeSerif" w:cs="FreeSerif"/>
          <w:sz w:val="28"/>
          <w:szCs w:val="28"/>
        </w:rPr>
        <w:t xml:space="preserve">бюджета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приведены в таблице.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right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cs="FreeSerif"/>
          <w:sz w:val="28"/>
          <w:szCs w:val="28"/>
        </w:rPr>
      </w:r>
    </w:p>
    <w:tbl>
      <w:tblPr>
        <w:tblW w:w="9541" w:type="dxa"/>
        <w:tblInd w:w="93" w:type="dxa"/>
        <w:tblLook w:val="04A0" w:firstRow="1" w:lastRow="0" w:firstColumn="1" w:lastColumn="0" w:noHBand="0" w:noVBand="1"/>
      </w:tblPr>
      <w:tblGrid>
        <w:gridCol w:w="5431"/>
        <w:gridCol w:w="1275"/>
        <w:gridCol w:w="1276"/>
        <w:gridCol w:w="1559"/>
      </w:tblGrid>
      <w:tr>
        <w:tblPrEx/>
        <w:trPr>
          <w:trHeight w:val="31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vAlign w:val="center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2026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2027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2028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Общегосударственные вопросы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288238,8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270283,4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263797,7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Национальная оборона 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6013,8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6219,5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6219,5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30929,6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27629,6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27629,6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Национальная экономика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104772,7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118319,5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87007,1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193569,9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194906,9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162940,3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Образование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1904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72,5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1998764,5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1978795,0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Культура, кинематография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249556,2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252602,2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255,040,9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Социальная политика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155354,2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142044,2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144102,3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Физическая культура и спорт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223646,5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152957,2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147705,4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630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Обслуживание государственного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(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муниципального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 долга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10263,5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3,5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7,0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Условно утвержденные расходы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40312,0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80686,0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  <w:tr>
        <w:tblPrEx/>
        <w:trPr>
          <w:trHeight w:val="315"/>
        </w:trPr>
        <w:tc>
          <w:tcPr>
            <w:shd w:val="clear" w:color="auto" w:fill="auto"/>
            <w:tcBorders>
              <w:top w:val="non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1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5" w:type="dxa"/>
            <w:vAlign w:val="center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3166517,7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276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3204242,5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shd w:val="clear" w:color="auto" w:fill="auto"/>
            <w:tcBorders>
              <w:top w:val="none" w:color="000000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1559" w:type="dxa"/>
            <w:textDirection w:val="lrTb"/>
            <w:noWrap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3153930,8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</w:tr>
    </w:tbl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сновной объём расходов приходится на разделы социально-культурной сферы. С учётом межбюджетных трансфертов указанные расходы в бюджете предлагаются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 год в сумме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2344619,1 </w:t>
      </w:r>
      <w:r>
        <w:rPr>
          <w:rFonts w:ascii="FreeSerif" w:hAnsi="FreeSerif" w:eastAsia="FreeSerif" w:cs="FreeSerif"/>
          <w:sz w:val="28"/>
          <w:szCs w:val="28"/>
        </w:rPr>
        <w:t xml:space="preserve">тыс. рублей. В структуре</w:t>
      </w:r>
      <w:r>
        <w:rPr>
          <w:rFonts w:ascii="FreeSerif" w:hAnsi="FreeSerif" w:eastAsia="FreeSerif" w:cs="FreeSerif"/>
          <w:sz w:val="28"/>
          <w:szCs w:val="28"/>
        </w:rPr>
        <w:t xml:space="preserve"> расходов </w:t>
      </w:r>
      <w:r>
        <w:rPr>
          <w:rFonts w:ascii="FreeSerif" w:hAnsi="FreeSerif" w:eastAsia="FreeSerif" w:cs="FreeSerif"/>
          <w:sz w:val="28"/>
          <w:szCs w:val="28"/>
        </w:rPr>
        <w:t xml:space="preserve">бюджета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бюджетные ассигнования по разделам социально-культурной сферы составляют </w:t>
      </w:r>
      <w:r>
        <w:rPr>
          <w:rFonts w:ascii="FreeSerif" w:hAnsi="FreeSerif" w:eastAsia="FreeSerif" w:cs="FreeSerif"/>
          <w:sz w:val="28"/>
          <w:szCs w:val="28"/>
        </w:rPr>
        <w:t xml:space="preserve">79,2 </w:t>
      </w:r>
      <w:r>
        <w:rPr>
          <w:rFonts w:ascii="FreeSerif" w:hAnsi="FreeSerif" w:eastAsia="FreeSerif" w:cs="FreeSerif"/>
          <w:sz w:val="28"/>
          <w:szCs w:val="28"/>
        </w:rPr>
        <w:t xml:space="preserve">%.</w:t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Расходная часть </w:t>
      </w:r>
      <w:r>
        <w:rPr>
          <w:rFonts w:ascii="FreeSerif" w:hAnsi="FreeSerif" w:eastAsia="FreeSerif" w:cs="FreeSerif"/>
          <w:sz w:val="28"/>
          <w:szCs w:val="28"/>
        </w:rPr>
        <w:t xml:space="preserve">бюджета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сформирована и представлена в программном формате на основе муниципальных программ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разработанных в соответствии с целями социально-экономического развития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3.1. Программные расходы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реализацию в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году </w:t>
      </w:r>
      <w:r>
        <w:rPr>
          <w:rFonts w:ascii="FreeSerif" w:hAnsi="FreeSerif" w:eastAsia="FreeSerif" w:cs="FreeSerif"/>
          <w:sz w:val="28"/>
          <w:szCs w:val="28"/>
        </w:rPr>
        <w:t xml:space="preserve">25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муниципальных программ предусмотрено </w:t>
      </w:r>
      <w:r>
        <w:rPr>
          <w:rFonts w:ascii="FreeSerif" w:hAnsi="FreeSerif" w:eastAsia="FreeSerif" w:cs="FreeSerif"/>
          <w:sz w:val="28"/>
          <w:szCs w:val="28"/>
        </w:rPr>
        <w:t xml:space="preserve">2256999,1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или </w:t>
      </w:r>
      <w:r>
        <w:rPr>
          <w:rFonts w:ascii="FreeSerif" w:hAnsi="FreeSerif" w:eastAsia="FreeSerif" w:cs="FreeSerif"/>
          <w:sz w:val="28"/>
          <w:szCs w:val="28"/>
        </w:rPr>
        <w:t xml:space="preserve">76,3</w:t>
      </w:r>
      <w:r>
        <w:rPr>
          <w:rFonts w:ascii="FreeSerif" w:hAnsi="FreeSerif" w:eastAsia="FreeSerif" w:cs="FreeSerif"/>
          <w:sz w:val="28"/>
          <w:szCs w:val="28"/>
        </w:rPr>
        <w:t xml:space="preserve"> %  от  общего  объёма  расходов  бюджета, в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году – </w:t>
      </w:r>
      <w:r>
        <w:rPr>
          <w:rFonts w:ascii="FreeSerif" w:hAnsi="FreeSerif" w:eastAsia="FreeSerif" w:cs="FreeSerif"/>
          <w:sz w:val="28"/>
          <w:szCs w:val="28"/>
        </w:rPr>
        <w:t xml:space="preserve">2168555,7</w:t>
      </w:r>
      <w:r>
        <w:rPr>
          <w:rFonts w:ascii="FreeSerif" w:hAnsi="FreeSerif" w:eastAsia="FreeSerif" w:cs="FreeSerif"/>
          <w:sz w:val="28"/>
          <w:szCs w:val="28"/>
        </w:rPr>
        <w:t xml:space="preserve">  тыс. рублей, или </w:t>
      </w:r>
      <w:r>
        <w:rPr>
          <w:rFonts w:ascii="FreeSerif" w:hAnsi="FreeSerif" w:eastAsia="FreeSerif" w:cs="FreeSerif"/>
          <w:sz w:val="28"/>
          <w:szCs w:val="28"/>
        </w:rPr>
        <w:t xml:space="preserve">78,6</w:t>
      </w:r>
      <w:r>
        <w:rPr>
          <w:rFonts w:ascii="FreeSerif" w:hAnsi="FreeSerif" w:eastAsia="FreeSerif" w:cs="FreeSerif"/>
          <w:sz w:val="28"/>
          <w:szCs w:val="28"/>
        </w:rPr>
        <w:t xml:space="preserve"> % от общего объема расходов, а в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году – </w:t>
      </w:r>
      <w:r>
        <w:rPr>
          <w:rFonts w:ascii="FreeSerif" w:hAnsi="FreeSerif" w:eastAsia="FreeSerif" w:cs="FreeSerif"/>
          <w:sz w:val="28"/>
          <w:szCs w:val="28"/>
        </w:rPr>
        <w:t xml:space="preserve">2069358,5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или </w:t>
      </w:r>
      <w:r>
        <w:rPr>
          <w:rFonts w:ascii="FreeSerif" w:hAnsi="FreeSerif" w:eastAsia="FreeSerif" w:cs="FreeSerif"/>
          <w:sz w:val="28"/>
          <w:szCs w:val="28"/>
        </w:rPr>
        <w:t xml:space="preserve">77,0</w:t>
      </w:r>
      <w:r>
        <w:rPr>
          <w:rFonts w:ascii="FreeSerif" w:hAnsi="FreeSerif" w:eastAsia="FreeSerif" w:cs="FreeSerif"/>
          <w:sz w:val="28"/>
          <w:szCs w:val="28"/>
        </w:rPr>
        <w:t xml:space="preserve"> % от общего объема расходов.  Информация о параметрах и основных подходах при формировании бюджетных ассигнований в разрезе муниципальных программ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и непрограммных расходов приведена ниже.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Расходы бюджета в разрезе муниципальных программ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муниципального 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 характеризуются следующими данными: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en-US"/>
        </w:rPr>
        <w:t xml:space="preserve">характеризуются следующими данными: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Style w:val="695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928"/>
        <w:gridCol w:w="1559"/>
        <w:gridCol w:w="1701"/>
        <w:gridCol w:w="1383"/>
      </w:tblGrid>
      <w:tr>
        <w:tblPrEx/>
        <w:trPr>
          <w:jc w:val="center"/>
        </w:trPr>
        <w:tc>
          <w:tcPr>
            <w:tcW w:w="492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муниципальной программы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W w:w="464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Предусмотрено (тыс. рублей)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vMerge w:val="continue"/>
            <w:textDirection w:val="lrTb"/>
            <w:noWrap w:val="false"/>
          </w:tcPr>
          <w:p>
            <w:pPr>
              <w:jc w:val="center"/>
              <w:spacing w:line="360" w:lineRule="auto"/>
              <w:rPr>
                <w:szCs w:val="28"/>
              </w:rPr>
            </w:pPr>
            <w:r>
              <w:rPr>
                <w:szCs w:val="28"/>
              </w:rPr>
            </w:r>
            <w:r>
              <w:rPr>
                <w:szCs w:val="28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83" w:type="dxa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469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«Развитие образования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1817647,3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1911475,3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1888545,1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411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color w:val="000000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«Обеспечение безопасности населения 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муниципального образования Ленинградский муниципальный округ</w:t>
            </w:r>
            <w:r>
              <w:rPr>
                <w:rFonts w:ascii="FreeSerif" w:hAnsi="FreeSerif" w:eastAsia="FreeSerif" w:cs="FreeSerif"/>
                <w:color w:val="000000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color w:val="000000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31912,5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26541,6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26541,6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«Развитие культуры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320740,0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326633,1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332032,5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«Развитие физической культуры и спорта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223646,5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152957,2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147705,4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«Поддержка малого и среднего предпринимательства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339,0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361,0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46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bookmarkStart w:id="2" w:name="_Hlk182128713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Молодежь Ленинградского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муниципального округа</w:t>
            </w:r>
            <w:bookmarkEnd w:id="2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16833,5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16833,5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16833,5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«Обеспечение жильем молодых семей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8303,2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7871,9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7871,9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«Развитие сельского хозяйства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6518,4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6577,0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6577,0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Профилактика экстремизма и терроризма на территории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округ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1281,0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836,0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1082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«Гармонизация межнациональных отношений и профилактика экстремизма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«Поддержка социально ориентированных некоммерческих организаций, осуществляющих свою деятельность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 территории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округ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2437,0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2437,0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2437,0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«Формирование современной городской среды»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46694,9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41867,7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«Развитие архивного дела в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муниципальном образовании Ленинградский муниципальный округ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5566,1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5566,1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5566,1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Противодействие коррупции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муниципальном образовании Ленинградский муниципальный округ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Комплексное и устойчивое развитие в муниципальном образовании Ленинград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и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й муниципальный округ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Краснодарского края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сфере архитектуры и градостроительства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1070,0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«Комплексное развитие топливно-энергетического комплекса 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жилищно-коммунального хозяйства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11979,2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20769,3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«Обращение с твердыми коммунальными отходами на территории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округ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«Информатизация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9507,0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7021,9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Социальная поддержка граждан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енинградск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муниципальн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ого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округ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400,0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Кадровая политика и 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азвитие муниципальной службы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администрации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Ленинградского муниципального округа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«Управление муниципальным имуществом и земельными ресурсами»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1800,0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bookmarkStart w:id="3" w:name="_Hlk182237182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Повышение рождаемости в Ленинградском муниципальном округе</w:t>
            </w:r>
            <w:bookmarkEnd w:id="3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1185,0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2700,0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и содержание улично-дорожной сети в обеспечении безопасности дорожного движения в муниципальном образовании 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73841,4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89554,5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93042,1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jc w:val="center"/>
        </w:trPr>
        <w:tc>
          <w:tcPr>
            <w:tcW w:w="4928" w:type="dxa"/>
            <w:textDirection w:val="lrTb"/>
            <w:noWrap w:val="false"/>
          </w:tcPr>
          <w:p>
            <w:pPr>
              <w:contextualSpacing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«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Развитие пассажирских перевозок автомобильным транспортом по муниципальным маршрутам границах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»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559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7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33000,0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83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spacing w:line="240" w:lineRule="auto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contextualSpacing/>
        <w:spacing w:line="240" w:lineRule="auto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«Развитие образования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на реализацию муниципальной программы «Развитие образования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образовании Ленинградский муниципальный </w:t>
      </w:r>
      <w:r>
        <w:rPr>
          <w:rFonts w:ascii="FreeSerif" w:hAnsi="FreeSerif" w:eastAsia="FreeSerif" w:cs="FreeSerif"/>
          <w:sz w:val="28"/>
          <w:szCs w:val="28"/>
        </w:rPr>
        <w:t xml:space="preserve">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предусматриваются в сумме </w:t>
      </w:r>
      <w:r>
        <w:rPr>
          <w:rFonts w:ascii="FreeSerif" w:hAnsi="FreeSerif" w:eastAsia="FreeSerif" w:cs="FreeSerif"/>
          <w:sz w:val="28"/>
          <w:szCs w:val="28"/>
        </w:rPr>
        <w:t xml:space="preserve">1817647,3 </w:t>
      </w:r>
      <w:r>
        <w:rPr>
          <w:rFonts w:ascii="FreeSerif" w:hAnsi="FreeSerif" w:eastAsia="FreeSerif" w:cs="FreeSerif"/>
          <w:sz w:val="28"/>
          <w:szCs w:val="28"/>
        </w:rPr>
        <w:t xml:space="preserve">тыс. рублей, в том числе: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-на обеспечение государственных гарантий реализации прав на получение общедоступного и бесплатного образования (общее и дошкольное образование) – </w:t>
      </w:r>
      <w:r>
        <w:rPr>
          <w:rFonts w:ascii="FreeSerif" w:hAnsi="FreeSerif" w:eastAsia="FreeSerif" w:cs="FreeSerif"/>
          <w:sz w:val="28"/>
          <w:szCs w:val="28"/>
        </w:rPr>
        <w:t xml:space="preserve">1179786,9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-на осу</w:t>
      </w:r>
      <w:r>
        <w:rPr>
          <w:rFonts w:ascii="FreeSerif" w:hAnsi="FreeSerif" w:eastAsia="FreeSerif" w:cs="FreeSerif"/>
          <w:sz w:val="28"/>
          <w:szCs w:val="28"/>
        </w:rPr>
        <w:t xml:space="preserve">ществление переданных отдельных полномочий Краснодарского края на выплату компенсации размера родительской платы за присмотр и уход за детьми в муниципальных образовательных организациях, реализующих общеобразовательную программу дошкольного образования – </w:t>
      </w:r>
      <w:r>
        <w:rPr>
          <w:rFonts w:ascii="FreeSerif" w:hAnsi="FreeSerif" w:eastAsia="FreeSerif" w:cs="FreeSerif"/>
          <w:sz w:val="28"/>
          <w:szCs w:val="28"/>
        </w:rPr>
        <w:t xml:space="preserve">6175,9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 Компенс</w:t>
      </w:r>
      <w:r>
        <w:rPr>
          <w:rFonts w:ascii="FreeSerif" w:hAnsi="FreeSerif" w:eastAsia="FreeSerif" w:cs="FreeSerif"/>
          <w:sz w:val="28"/>
          <w:szCs w:val="28"/>
        </w:rPr>
        <w:t xml:space="preserve">ация предусмотрена в размере 20 процентов среднего размера родительской планы на первого ребенка в семье, 50 процентов  - на второго ребенка в семье и 70 процентов на третьего ребенка. Общее количество детей, для которых предусмотрена компенсация составит </w:t>
      </w:r>
      <w:r>
        <w:rPr>
          <w:rFonts w:ascii="FreeSerif" w:hAnsi="FreeSerif" w:eastAsia="FreeSerif" w:cs="FreeSerif"/>
          <w:sz w:val="28"/>
          <w:szCs w:val="28"/>
        </w:rPr>
        <w:t xml:space="preserve">2122</w:t>
      </w:r>
      <w:r>
        <w:rPr>
          <w:rFonts w:ascii="FreeSerif" w:hAnsi="FreeSerif" w:eastAsia="FreeSerif" w:cs="FreeSerif"/>
          <w:sz w:val="28"/>
          <w:szCs w:val="28"/>
        </w:rPr>
        <w:t xml:space="preserve"> ребенк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-на предоставление мер социальной поддержки в виде компенсации расходов на оплату жилых помещен</w:t>
      </w:r>
      <w:r>
        <w:rPr>
          <w:rFonts w:ascii="FreeSerif" w:hAnsi="FreeSerif" w:eastAsia="FreeSerif" w:cs="FreeSerif"/>
          <w:sz w:val="28"/>
          <w:szCs w:val="28"/>
        </w:rPr>
        <w:t xml:space="preserve">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 – </w:t>
      </w:r>
      <w:r>
        <w:rPr>
          <w:rFonts w:ascii="FreeSerif" w:hAnsi="FreeSerif" w:eastAsia="FreeSerif" w:cs="FreeSerif"/>
          <w:sz w:val="28"/>
          <w:szCs w:val="28"/>
        </w:rPr>
        <w:t xml:space="preserve">15280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 Количество получателей компенсации расходов по оплате жилых помещений, отопления и освещения  составляет </w:t>
      </w:r>
      <w:r>
        <w:rPr>
          <w:rFonts w:ascii="FreeSerif" w:hAnsi="FreeSerif" w:eastAsia="FreeSerif" w:cs="FreeSerif"/>
          <w:sz w:val="28"/>
          <w:szCs w:val="28"/>
        </w:rPr>
        <w:t xml:space="preserve">1144</w:t>
      </w:r>
      <w:r>
        <w:rPr>
          <w:rFonts w:ascii="FreeSerif" w:hAnsi="FreeSerif" w:eastAsia="FreeSerif" w:cs="FreeSerif"/>
          <w:sz w:val="28"/>
          <w:szCs w:val="28"/>
        </w:rPr>
        <w:t xml:space="preserve"> человек;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-на организацию бесплатного горячего питания обучающихся общеобразовательных учреждений будет направлено </w:t>
      </w:r>
      <w:r>
        <w:rPr>
          <w:rFonts w:ascii="FreeSerif" w:hAnsi="FreeSerif" w:eastAsia="FreeSerif" w:cs="FreeSerif"/>
          <w:sz w:val="28"/>
          <w:szCs w:val="28"/>
        </w:rPr>
        <w:t xml:space="preserve">74856,1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 (на условиях </w:t>
      </w:r>
      <w:r>
        <w:rPr>
          <w:rFonts w:ascii="FreeSerif" w:hAnsi="FreeSerif" w:eastAsia="FreeSerif" w:cs="FreeSerif"/>
          <w:sz w:val="28"/>
          <w:szCs w:val="28"/>
        </w:rPr>
        <w:t xml:space="preserve">софинансирования</w:t>
      </w:r>
      <w:r>
        <w:rPr>
          <w:rFonts w:ascii="FreeSerif" w:hAnsi="FreeSerif" w:eastAsia="FreeSerif" w:cs="FreeSerif"/>
          <w:sz w:val="28"/>
          <w:szCs w:val="28"/>
        </w:rPr>
        <w:t xml:space="preserve"> с бюджетом Краснодарского края)</w:t>
      </w:r>
      <w:r>
        <w:rPr>
          <w:rFonts w:ascii="FreeSerif" w:hAnsi="FreeSerif" w:eastAsia="FreeSerif" w:cs="FreeSerif"/>
          <w:sz w:val="28"/>
          <w:szCs w:val="28"/>
        </w:rPr>
        <w:t xml:space="preserve">, из которых: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учащихся, получающих начальное общее образование – </w:t>
      </w:r>
      <w:r>
        <w:rPr>
          <w:rFonts w:ascii="FreeSerif" w:hAnsi="FreeSerif" w:eastAsia="FreeSerif" w:cs="FreeSerif"/>
          <w:sz w:val="28"/>
          <w:szCs w:val="28"/>
        </w:rPr>
        <w:t xml:space="preserve">33273,5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</w:t>
      </w:r>
      <w:r>
        <w:rPr>
          <w:rFonts w:ascii="FreeSerif" w:hAnsi="FreeSerif" w:eastAsia="FreeSerif" w:cs="FreeSerif"/>
          <w:sz w:val="28"/>
          <w:szCs w:val="28"/>
        </w:rPr>
        <w:t xml:space="preserve">обучающихся с ограниченными возможностями здоровья</w:t>
      </w:r>
      <w:r>
        <w:rPr>
          <w:rFonts w:ascii="FreeSerif" w:hAnsi="FreeSerif" w:eastAsia="FreeSerif" w:cs="FreeSerif"/>
          <w:sz w:val="28"/>
          <w:szCs w:val="28"/>
        </w:rPr>
        <w:t xml:space="preserve"> – 23892,7 тыс. рублей;</w:t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детей инвалидов  - </w:t>
      </w:r>
      <w:r>
        <w:rPr>
          <w:rFonts w:ascii="FreeSerif" w:hAnsi="FreeSerif" w:eastAsia="FreeSerif" w:cs="FreeSerif"/>
          <w:sz w:val="28"/>
          <w:szCs w:val="28"/>
        </w:rPr>
        <w:t xml:space="preserve">1300,3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обучающихся </w:t>
      </w:r>
      <w:r>
        <w:rPr>
          <w:rFonts w:ascii="FreeSerif" w:hAnsi="FreeSerif" w:eastAsia="FreeSerif" w:cs="FreeSerif"/>
          <w:sz w:val="28"/>
          <w:szCs w:val="28"/>
        </w:rPr>
        <w:t xml:space="preserve">из многодетных семей </w:t>
      </w:r>
      <w:r>
        <w:rPr>
          <w:rFonts w:ascii="FreeSerif" w:hAnsi="FreeSerif" w:eastAsia="FreeSerif" w:cs="FreeSerif"/>
          <w:sz w:val="28"/>
          <w:szCs w:val="28"/>
        </w:rPr>
        <w:t xml:space="preserve">– </w:t>
      </w:r>
      <w:r>
        <w:rPr>
          <w:rFonts w:ascii="FreeSerif" w:hAnsi="FreeSerif" w:eastAsia="FreeSerif" w:cs="FreeSerif"/>
          <w:sz w:val="28"/>
          <w:szCs w:val="28"/>
        </w:rPr>
        <w:t xml:space="preserve">16389,6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– </w:t>
      </w:r>
      <w:r>
        <w:rPr>
          <w:rFonts w:ascii="FreeSerif" w:hAnsi="FreeSerif" w:eastAsia="FreeSerif" w:cs="FreeSerif"/>
          <w:sz w:val="28"/>
          <w:szCs w:val="28"/>
        </w:rPr>
        <w:t xml:space="preserve">51715,4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 Прогнозируемая численность педагогических работников, получающих вознаграждение за классное руководство в размере 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sz w:val="28"/>
          <w:szCs w:val="28"/>
        </w:rPr>
        <w:t xml:space="preserve">000,0 рублей в месяц, составляет </w:t>
      </w:r>
      <w:r>
        <w:rPr>
          <w:rFonts w:ascii="FreeSerif" w:hAnsi="FreeSerif" w:eastAsia="FreeSerif" w:cs="FreeSerif"/>
          <w:sz w:val="28"/>
          <w:szCs w:val="28"/>
        </w:rPr>
        <w:t xml:space="preserve">331</w:t>
      </w:r>
      <w:r>
        <w:rPr>
          <w:rFonts w:ascii="FreeSerif" w:hAnsi="FreeSerif" w:eastAsia="FreeSerif" w:cs="FreeSerif"/>
          <w:sz w:val="28"/>
          <w:szCs w:val="28"/>
        </w:rPr>
        <w:t xml:space="preserve"> человек;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-на материально-техническое обеспечение пунктов проведения экзаменов для государственной итоговой аттестации по образовательным программам основного общего и среднего общего образования – </w:t>
      </w:r>
      <w:r>
        <w:rPr>
          <w:rFonts w:ascii="FreeSerif" w:hAnsi="FreeSerif" w:eastAsia="FreeSerif" w:cs="FreeSerif"/>
          <w:sz w:val="28"/>
          <w:szCs w:val="28"/>
        </w:rPr>
        <w:t xml:space="preserve">3241,5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- на обеспечение отдыха детей в каникулярное время в профильных лагерях, организованных муниципальными общеобразовательными организациями Краснодарского края – </w:t>
      </w:r>
      <w:r>
        <w:rPr>
          <w:rFonts w:ascii="FreeSerif" w:hAnsi="FreeSerif" w:eastAsia="FreeSerif" w:cs="FreeSerif"/>
          <w:sz w:val="28"/>
          <w:szCs w:val="28"/>
        </w:rPr>
        <w:t xml:space="preserve">6109,5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, оздоровительными мероприятиями будут охвачены 1626 детей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выполнение муниципальных заданий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муниципальным дошкольным образовательным учреждениям, общеобразовательным учреждениям (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школ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), учреждениям дополнительного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выделено </w:t>
      </w:r>
      <w:r>
        <w:rPr>
          <w:rFonts w:ascii="FreeSerif" w:hAnsi="FreeSerif" w:eastAsia="FreeSerif" w:cs="FreeSerif"/>
          <w:sz w:val="28"/>
          <w:szCs w:val="28"/>
        </w:rPr>
        <w:t xml:space="preserve">383383,5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из которых </w:t>
      </w:r>
      <w:r>
        <w:rPr>
          <w:rFonts w:ascii="FreeSerif" w:hAnsi="FreeSerif" w:eastAsia="FreeSerif" w:cs="FreeSerif"/>
          <w:sz w:val="28"/>
          <w:szCs w:val="28"/>
        </w:rPr>
        <w:t xml:space="preserve">64781,4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будут направлены на питание воспитанников детских садов;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рамках реализация мер по популяризации среди детей и молодёжи научно-образовательной, творческой и спортивной деятельности, выявление талантливой молодёжи предусмотрено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 в размере 1000,0 рублей в месяц на общую сумму </w:t>
      </w:r>
      <w:r>
        <w:rPr>
          <w:rFonts w:ascii="FreeSerif" w:hAnsi="FreeSerif" w:eastAsia="FreeSerif" w:cs="FreeSerif"/>
          <w:sz w:val="28"/>
          <w:szCs w:val="28"/>
        </w:rPr>
        <w:t xml:space="preserve">315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оказание мер социальной поддержки студентам организаций профессионального образования по направления подготовки «Образование и педагогика», заключившим договор целевого обучения с муниципальной образовательной организацией на сумму 600,0 тыс. рублей;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проведение мероприятий</w:t>
      </w:r>
      <w:r>
        <w:rPr>
          <w:rFonts w:ascii="FreeSerif" w:hAnsi="FreeSerif" w:eastAsia="FreeSerif" w:cs="FreeSerif"/>
          <w:sz w:val="28"/>
          <w:szCs w:val="28"/>
        </w:rPr>
        <w:t xml:space="preserve">, связанных с участием во всероссийских, региональных, интеллектуальных и творческих конкурсах, фестивалях </w:t>
      </w:r>
      <w:r>
        <w:rPr>
          <w:rFonts w:ascii="FreeSerif" w:hAnsi="FreeSerif" w:eastAsia="FreeSerif" w:cs="FreeSerif"/>
          <w:sz w:val="28"/>
          <w:szCs w:val="28"/>
        </w:rPr>
        <w:t xml:space="preserve">– </w:t>
      </w:r>
      <w:r>
        <w:rPr>
          <w:rFonts w:ascii="FreeSerif" w:hAnsi="FreeSerif" w:eastAsia="FreeSerif" w:cs="FreeSerif"/>
          <w:sz w:val="28"/>
          <w:szCs w:val="28"/>
        </w:rPr>
        <w:t xml:space="preserve">150</w:t>
      </w:r>
      <w:r>
        <w:rPr>
          <w:rFonts w:ascii="FreeSerif" w:hAnsi="FreeSerif" w:eastAsia="FreeSerif" w:cs="FreeSerif"/>
          <w:sz w:val="28"/>
          <w:szCs w:val="28"/>
        </w:rPr>
        <w:t xml:space="preserve">,0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предоставление дополнительных мер социальной поддержки в виде частичной оплаты стоимости питания и обеспечение молоком и молочными продуктами обучающихся муниципальных общеобразовательных учреждений определены средства в сумме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998,4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оплата за услуги по обеспечению бесплатным горячим питанием: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обучающихся, получающих начальное общее образование в муниципальных образовательных организациях запланирована в размере </w:t>
      </w:r>
      <w:r>
        <w:rPr>
          <w:rFonts w:ascii="FreeSerif" w:hAnsi="FreeSerif" w:eastAsia="FreeSerif" w:cs="FreeSerif"/>
          <w:sz w:val="28"/>
          <w:szCs w:val="28"/>
        </w:rPr>
        <w:t xml:space="preserve">15142,5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обучающихся в общеобразовательных организациях детей с ОВЗ </w:t>
      </w:r>
      <w:r>
        <w:rPr>
          <w:rFonts w:ascii="FreeSerif" w:hAnsi="FreeSerif" w:eastAsia="FreeSerif" w:cs="FreeSerif"/>
          <w:sz w:val="28"/>
          <w:szCs w:val="28"/>
        </w:rPr>
        <w:t xml:space="preserve">767,8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обучающихся детей – инвалидов </w:t>
      </w:r>
      <w:r>
        <w:rPr>
          <w:rFonts w:ascii="FreeSerif" w:hAnsi="FreeSerif" w:eastAsia="FreeSerif" w:cs="FreeSerif"/>
          <w:sz w:val="28"/>
          <w:szCs w:val="28"/>
        </w:rPr>
        <w:t xml:space="preserve">957,2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целях 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 в бюджете предусмотрены средства: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на единовременную денежную выплату молодым педагогам муниципальных образовательных организаций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общую сумму </w:t>
      </w:r>
      <w:r>
        <w:rPr>
          <w:rFonts w:ascii="FreeSerif" w:hAnsi="FreeSerif" w:eastAsia="FreeSerif" w:cs="FreeSerif"/>
          <w:sz w:val="28"/>
          <w:szCs w:val="28"/>
        </w:rPr>
        <w:t xml:space="preserve">933,5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на ежегодную выплату к началу учебного года руководителям общеобразовательных учреждений и их заместителям на сумму 471,7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- е</w:t>
      </w:r>
      <w:r>
        <w:rPr>
          <w:rFonts w:ascii="FreeSerif" w:hAnsi="FreeSerif" w:eastAsia="FreeSerif" w:cs="FreeSerif"/>
          <w:sz w:val="28"/>
          <w:szCs w:val="28"/>
        </w:rPr>
        <w:t xml:space="preserve">диновременн</w:t>
      </w:r>
      <w:r>
        <w:rPr>
          <w:rFonts w:ascii="FreeSerif" w:hAnsi="FreeSerif" w:eastAsia="FreeSerif" w:cs="FreeSerif"/>
          <w:sz w:val="28"/>
          <w:szCs w:val="28"/>
        </w:rPr>
        <w:t xml:space="preserve">ую</w:t>
      </w:r>
      <w:r>
        <w:rPr>
          <w:rFonts w:ascii="FreeSerif" w:hAnsi="FreeSerif" w:eastAsia="FreeSerif" w:cs="FreeSerif"/>
          <w:sz w:val="28"/>
          <w:szCs w:val="28"/>
        </w:rPr>
        <w:t xml:space="preserve"> денежн</w:t>
      </w:r>
      <w:r>
        <w:rPr>
          <w:rFonts w:ascii="FreeSerif" w:hAnsi="FreeSerif" w:eastAsia="FreeSerif" w:cs="FreeSerif"/>
          <w:sz w:val="28"/>
          <w:szCs w:val="28"/>
        </w:rPr>
        <w:t xml:space="preserve">ую</w:t>
      </w:r>
      <w:r>
        <w:rPr>
          <w:rFonts w:ascii="FreeSerif" w:hAnsi="FreeSerif" w:eastAsia="FreeSerif" w:cs="FreeSerif"/>
          <w:sz w:val="28"/>
          <w:szCs w:val="28"/>
        </w:rPr>
        <w:t xml:space="preserve"> выплат</w:t>
      </w:r>
      <w:r>
        <w:rPr>
          <w:rFonts w:ascii="FreeSerif" w:hAnsi="FreeSerif" w:eastAsia="FreeSerif" w:cs="FreeSerif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sz w:val="28"/>
          <w:szCs w:val="28"/>
        </w:rPr>
        <w:t xml:space="preserve"> Почетному педагогу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– 115,0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рамках организации полезной занятости детей и подростков предусмотрены ассигнования в сумме </w:t>
      </w:r>
      <w:r>
        <w:rPr>
          <w:rFonts w:ascii="FreeSerif" w:hAnsi="FreeSerif" w:eastAsia="FreeSerif" w:cs="FreeSerif"/>
          <w:sz w:val="28"/>
          <w:szCs w:val="28"/>
        </w:rPr>
        <w:t xml:space="preserve">4411,2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на проведение  мероприятий оздоровительной кампании детей;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исполнени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обязательств по исполнению судебных постановлений, вынесенных по исковым заявлениям прокурора предусмотрено </w:t>
      </w:r>
      <w:r>
        <w:rPr>
          <w:rFonts w:ascii="FreeSerif" w:hAnsi="FreeSerif" w:eastAsia="FreeSerif" w:cs="FreeSerif"/>
          <w:sz w:val="28"/>
          <w:szCs w:val="28"/>
        </w:rPr>
        <w:t xml:space="preserve">1368,2</w:t>
      </w:r>
      <w:r>
        <w:rPr>
          <w:rFonts w:ascii="FreeSerif" w:hAnsi="FreeSerif" w:eastAsia="FreeSerif" w:cs="FreeSerif"/>
          <w:sz w:val="28"/>
          <w:szCs w:val="28"/>
        </w:rPr>
        <w:t xml:space="preserve"> тыс. </w:t>
      </w:r>
      <w:r>
        <w:rPr>
          <w:rFonts w:ascii="FreeSerif" w:hAnsi="FreeSerif" w:eastAsia="FreeSerif" w:cs="FreeSerif"/>
          <w:sz w:val="28"/>
          <w:szCs w:val="28"/>
        </w:rPr>
        <w:t xml:space="preserve">рублей</w:t>
      </w:r>
      <w:r>
        <w:rPr>
          <w:rFonts w:ascii="FreeSerif" w:hAnsi="FreeSerif" w:eastAsia="FreeSerif" w:cs="FreeSerif"/>
          <w:sz w:val="28"/>
          <w:szCs w:val="28"/>
        </w:rPr>
        <w:t xml:space="preserve">, средства будут направлены на оснащение медицинских кабинетов и кабинетов ОБЗР;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обеспечение функций управления образования и трех казенных учреждений выделено </w:t>
      </w:r>
      <w:r>
        <w:rPr>
          <w:rFonts w:ascii="FreeSerif" w:hAnsi="FreeSerif" w:eastAsia="FreeSerif" w:cs="FreeSerif"/>
          <w:sz w:val="28"/>
          <w:szCs w:val="28"/>
        </w:rPr>
        <w:t xml:space="preserve">71049,6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«Обеспечение безопасности населения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По муниципальной программе «Обеспечение безопасности населения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 финансирование предусмотрено на обеспечение деятельности муниципального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казенного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учреждения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«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Аварийно-спасательное формирование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на о</w:t>
      </w:r>
      <w:r>
        <w:rPr>
          <w:rFonts w:ascii="FreeSerif" w:hAnsi="FreeSerif" w:eastAsia="FreeSerif" w:cs="FreeSerif"/>
          <w:sz w:val="28"/>
          <w:szCs w:val="28"/>
        </w:rPr>
        <w:t xml:space="preserve">бщую сумму расходов </w:t>
      </w:r>
      <w:r>
        <w:rPr>
          <w:rFonts w:ascii="FreeSerif" w:hAnsi="FreeSerif" w:eastAsia="FreeSerif" w:cs="FreeSerif"/>
          <w:sz w:val="28"/>
          <w:szCs w:val="28"/>
        </w:rPr>
        <w:t xml:space="preserve">14352,4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и муниципального </w:t>
      </w:r>
      <w:r>
        <w:rPr>
          <w:rFonts w:ascii="FreeSerif" w:hAnsi="FreeSerif" w:eastAsia="FreeSerif" w:cs="FreeSerif"/>
          <w:sz w:val="28"/>
          <w:szCs w:val="28"/>
        </w:rPr>
        <w:t xml:space="preserve">казенного </w:t>
      </w:r>
      <w:r>
        <w:rPr>
          <w:rFonts w:ascii="FreeSerif" w:hAnsi="FreeSerif" w:eastAsia="FreeSerif" w:cs="FreeSerif"/>
          <w:sz w:val="28"/>
          <w:szCs w:val="28"/>
        </w:rPr>
        <w:t xml:space="preserve">учреждения </w:t>
      </w: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Управление по делам ГО и ЧС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 в размере </w:t>
      </w:r>
      <w:r>
        <w:rPr>
          <w:rFonts w:ascii="FreeSerif" w:hAnsi="FreeSerif" w:eastAsia="FreeSerif" w:cs="FreeSerif"/>
          <w:sz w:val="28"/>
          <w:szCs w:val="28"/>
        </w:rPr>
        <w:t xml:space="preserve">12189,4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4" w:name="_Hlk213938387"/>
      <w:r>
        <w:rPr>
          <w:rFonts w:ascii="FreeSerif" w:hAnsi="FreeSerif" w:eastAsia="FreeSerif" w:cs="FreeSerif"/>
          <w:sz w:val="28"/>
          <w:szCs w:val="28"/>
        </w:rPr>
      </w:r>
      <w:bookmarkStart w:id="5" w:name="_Hlk213938589"/>
      <w:r>
        <w:rPr>
          <w:rFonts w:ascii="FreeSerif" w:hAnsi="FreeSerif" w:eastAsia="FreeSerif" w:cs="FreeSerif"/>
          <w:sz w:val="28"/>
          <w:szCs w:val="28"/>
        </w:rPr>
        <w:t xml:space="preserve">В рамках исполнения обязательств</w:t>
      </w:r>
      <w:r>
        <w:rPr>
          <w:rFonts w:ascii="FreeSerif" w:hAnsi="FreeSerif" w:eastAsia="FreeSerif" w:cs="FreeSerif"/>
          <w:sz w:val="28"/>
          <w:szCs w:val="28"/>
        </w:rPr>
        <w:t xml:space="preserve"> по исполнению судебных постановлений, вынесенных по исковым заявлениям прокурора предусмотрено 2070,9 тыс. рублей</w:t>
      </w:r>
      <w:bookmarkEnd w:id="4"/>
      <w:r>
        <w:rPr>
          <w:rFonts w:ascii="FreeSerif" w:hAnsi="FreeSerif" w:eastAsia="FreeSerif" w:cs="FreeSerif"/>
          <w:sz w:val="28"/>
          <w:szCs w:val="28"/>
        </w:rPr>
        <w:t xml:space="preserve"> на мероприятия по устранению нарушений пожарной безопасности в образовательных организациях. </w:t>
      </w:r>
      <w:bookmarkEnd w:id="5"/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«Развитие культуры </w:t>
      </w:r>
      <w:r>
        <w:rPr>
          <w:rFonts w:ascii="FreeSerif" w:hAnsi="FreeSerif" w:eastAsia="FreeSerif" w:cs="FreeSerif"/>
          <w:sz w:val="28"/>
          <w:szCs w:val="28"/>
        </w:rPr>
        <w:t xml:space="preserve">в 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муниципальную программу «Развитие культуры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 в бюджете запланировано на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год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320740,0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рамках реализации вышеуказанной программы средства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бюджета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будут направлены на: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выполнение муниципальных заданий двумя музыкальными и одной художественной школой в сумме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70506,6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рублей;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организацию и обеспечение деятельности муниципального бюджетного учреждения культуры «Ленинградская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межпоселенческая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библиотека», бюджетного учреждения «Историко-краеведческий музей»,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бюджетного учреждения «Центр творчества и искусства»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кинотеатра «Горн»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предусмотрено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179282,3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рублей;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обеспечение управленческих функций выделено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1639,6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рублей;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 целью сохранения </w:t>
      </w:r>
      <w:r>
        <w:rPr>
          <w:rFonts w:ascii="FreeSerif" w:hAnsi="FreeSerif" w:eastAsia="FreeSerif" w:cs="FreeSerif"/>
          <w:sz w:val="28"/>
          <w:szCs w:val="28"/>
        </w:rPr>
        <w:t xml:space="preserve">и развития кадрового потенциала учреждений культуры на компенсацию расходов на оплату жилых помещений, отопления и освещения работникам муниципальных учреждений, проживающим и работающим в сельской местности, за счет средств краевого бюджета предусмотрено </w:t>
      </w:r>
      <w:r>
        <w:rPr>
          <w:rFonts w:ascii="FreeSerif" w:hAnsi="FreeSerif" w:eastAsia="FreeSerif" w:cs="FreeSerif"/>
          <w:sz w:val="28"/>
          <w:szCs w:val="28"/>
        </w:rPr>
        <w:t xml:space="preserve">677,2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и за счет средств местного бюджета  - 404,7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обеспечения культурно – досуговой деятельности для различных категорий населения запланировано проведение праздничных и других мероприятий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сумму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000,0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рамках федерального проекта «Культурная среда» предусмотрены средства в сумме </w:t>
      </w:r>
      <w:r>
        <w:rPr>
          <w:rFonts w:ascii="FreeSerif" w:hAnsi="FreeSerif" w:eastAsia="FreeSerif" w:cs="FreeSerif"/>
          <w:sz w:val="28"/>
          <w:szCs w:val="28"/>
        </w:rPr>
        <w:t xml:space="preserve">280,5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на комплектование книжного фонда муниципальной библиотеки, из которых </w:t>
      </w:r>
      <w:r>
        <w:rPr>
          <w:rFonts w:ascii="FreeSerif" w:hAnsi="FreeSerif" w:eastAsia="FreeSerif" w:cs="FreeSerif"/>
          <w:sz w:val="28"/>
          <w:szCs w:val="28"/>
        </w:rPr>
        <w:t xml:space="preserve">33,7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средства местного бюджета.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«Развитие физической культуры и спорта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Расходы на реализацию муниципальной программы «Развитие физической культуры и спорта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 предусмотрены в сумме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223646,5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рублей, в том числе: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обеспечение выполнения муниципальных заданий муниципальными учреждениями, подведомственными отделу физической культуры и спорта в сумме </w:t>
      </w:r>
      <w:r>
        <w:rPr>
          <w:rFonts w:ascii="FreeSerif" w:hAnsi="FreeSerif" w:eastAsia="FreeSerif" w:cs="FreeSerif"/>
          <w:sz w:val="28"/>
          <w:szCs w:val="28"/>
        </w:rPr>
        <w:t xml:space="preserve">131910,6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, в том числе </w:t>
      </w:r>
      <w:r>
        <w:rPr>
          <w:rFonts w:ascii="FreeSerif" w:hAnsi="FreeSerif" w:eastAsia="FreeSerif" w:cs="FreeSerif"/>
          <w:sz w:val="28"/>
          <w:szCs w:val="28"/>
        </w:rPr>
        <w:t xml:space="preserve">на проведение углубленных медицинских осмотров общающихся – </w:t>
      </w:r>
      <w:r>
        <w:rPr>
          <w:rFonts w:ascii="FreeSerif" w:hAnsi="FreeSerif" w:eastAsia="FreeSerif" w:cs="FreeSerif"/>
          <w:sz w:val="28"/>
          <w:szCs w:val="28"/>
        </w:rPr>
        <w:t xml:space="preserve">4633,0 </w:t>
      </w:r>
      <w:r>
        <w:rPr>
          <w:rFonts w:ascii="FreeSerif" w:hAnsi="FreeSerif" w:eastAsia="FreeSerif" w:cs="FreeSerif"/>
          <w:sz w:val="28"/>
          <w:szCs w:val="28"/>
        </w:rPr>
        <w:t xml:space="preserve">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проведение спортивных мероприятий предусмотрено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0</w:t>
      </w:r>
      <w:r>
        <w:rPr>
          <w:rFonts w:ascii="FreeSerif" w:hAnsi="FreeSerif" w:eastAsia="FreeSerif" w:cs="FreeSerif"/>
          <w:sz w:val="28"/>
          <w:szCs w:val="28"/>
        </w:rPr>
        <w:t xml:space="preserve">00,0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целях обеспечения условий для занятий физической культурой и массовым спортом в муниципальном образовании предусмотрен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sz w:val="28"/>
          <w:szCs w:val="28"/>
        </w:rPr>
        <w:t xml:space="preserve"> средства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капитальный ремонт муниципальных спортивных объектов </w:t>
      </w:r>
      <w:r>
        <w:rPr>
          <w:rFonts w:ascii="FreeSerif" w:hAnsi="FreeSerif" w:eastAsia="FreeSerif" w:cs="FreeSerif"/>
          <w:sz w:val="28"/>
          <w:szCs w:val="28"/>
        </w:rPr>
        <w:t xml:space="preserve"> в размере </w:t>
      </w:r>
      <w:r>
        <w:rPr>
          <w:rFonts w:ascii="FreeSerif" w:hAnsi="FreeSerif" w:eastAsia="FreeSerif" w:cs="FreeSerif"/>
          <w:sz w:val="28"/>
          <w:szCs w:val="28"/>
        </w:rPr>
        <w:t xml:space="preserve">72466,6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sz w:val="28"/>
          <w:szCs w:val="28"/>
        </w:rPr>
        <w:t xml:space="preserve">ремонт центрального стадиона ст. Ленинградский</w:t>
      </w:r>
      <w:r>
        <w:rPr>
          <w:rFonts w:ascii="FreeSerif" w:hAnsi="FreeSerif" w:eastAsia="FreeSerif" w:cs="FreeSerif"/>
          <w:sz w:val="28"/>
          <w:szCs w:val="28"/>
        </w:rPr>
        <w:t xml:space="preserve">  - второй этап</w:t>
      </w:r>
      <w:r>
        <w:rPr>
          <w:rFonts w:ascii="FreeSerif" w:hAnsi="FreeSerif" w:eastAsia="FreeSerif" w:cs="FreeSerif"/>
          <w:sz w:val="28"/>
          <w:szCs w:val="28"/>
        </w:rPr>
        <w:t xml:space="preserve">), а также на </w:t>
      </w:r>
      <w:r>
        <w:rPr>
          <w:rFonts w:ascii="FreeSerif" w:hAnsi="FreeSerif" w:eastAsia="FreeSerif" w:cs="FreeSerif"/>
          <w:sz w:val="28"/>
          <w:szCs w:val="28"/>
        </w:rPr>
        <w:t xml:space="preserve">мероприятия по закупке и монтаж</w:t>
      </w:r>
      <w:r>
        <w:rPr>
          <w:rFonts w:ascii="FreeSerif" w:hAnsi="FreeSerif" w:eastAsia="FreeSerif" w:cs="FreeSerif"/>
          <w:sz w:val="28"/>
          <w:szCs w:val="28"/>
        </w:rPr>
        <w:t xml:space="preserve">у оборудования для создания в опорных населенных пунктах, малых городах и на сельских территориях малых спортивных площадок, монтируемых на открытых или закрытых площадках, на которых возможно проводить тестирование населения в соответствии с требованиями </w:t>
      </w:r>
      <w:r>
        <w:rPr>
          <w:rFonts w:ascii="FreeSerif" w:hAnsi="FreeSerif" w:eastAsia="FreeSerif" w:cs="FreeSerif"/>
          <w:sz w:val="28"/>
          <w:szCs w:val="28"/>
        </w:rPr>
        <w:t xml:space="preserve">на сумму </w:t>
      </w:r>
      <w:r>
        <w:rPr>
          <w:rFonts w:ascii="FreeSerif" w:hAnsi="FreeSerif" w:eastAsia="FreeSerif" w:cs="FreeSerif"/>
          <w:sz w:val="28"/>
          <w:szCs w:val="28"/>
        </w:rPr>
        <w:t xml:space="preserve">3522,7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обеспечение управленческих функций и содержание муниципального казенного учреждения выделено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10741,3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социальную поддержку отдельных категорий работников муниципальных образовательных организаций дополнительного образования детей Краснодарского края отраслей «Образование» и «Физическая культура и спорт» из краевого бюджета выделено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218,8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целях обеспечения условий для развития физической культуры и массового спорта в части оплаты труда инструкторов по спорту предусмотрено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1195,3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рублей, из которых средства краевого бюджета составляют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1051,9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рублей.  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bookmarkStart w:id="6" w:name="_Hlk182128648"/>
      <w:r>
        <w:rPr>
          <w:rFonts w:ascii="FreeSerif" w:hAnsi="FreeSerif" w:eastAsia="FreeSerif" w:cs="FreeSerif"/>
          <w:sz w:val="28"/>
          <w:szCs w:val="28"/>
        </w:rPr>
        <w:t xml:space="preserve">Поддержка малого и среднего предпринимательства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bookmarkEnd w:id="6"/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-57" w:right="-57" w:firstLine="908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реализацию вышеуказанной программы предусмотрены средства в размере </w:t>
      </w:r>
      <w:r>
        <w:rPr>
          <w:rFonts w:ascii="FreeSerif" w:hAnsi="FreeSerif" w:eastAsia="FreeSerif" w:cs="FreeSerif"/>
          <w:sz w:val="28"/>
          <w:szCs w:val="28"/>
        </w:rPr>
        <w:t xml:space="preserve">339,0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 на проведение организационных мероприятий в рамках</w:t>
      </w:r>
      <w:r>
        <w:rPr>
          <w:rFonts w:ascii="FreeSerif" w:hAnsi="FreeSerif" w:eastAsia="FreeSerif" w:cs="FreeSerif"/>
          <w:sz w:val="28"/>
          <w:szCs w:val="28"/>
        </w:rPr>
        <w:t xml:space="preserve"> п</w:t>
      </w:r>
      <w:r>
        <w:rPr>
          <w:rFonts w:ascii="FreeSerif" w:hAnsi="FreeSerif" w:eastAsia="FreeSerif" w:cs="FreeSerif"/>
          <w:sz w:val="28"/>
          <w:szCs w:val="28"/>
        </w:rPr>
        <w:t xml:space="preserve">оддержки малого и среднего предпринимательства в 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Молодежь Ленинградского 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На реализацию муниципальной программы «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Молодежь 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 выделено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16833,5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рублей. В рамках реализации мероприятий программы предусмотрено обеспечение управленческих функций и обеспечение деятельности подведомственного учреждения, а также проведение мероприятий, предусмотренных программой.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«Обеспечение жильем молодых семей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900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Расходы на реализацию данной муниципальной программы определены </w:t>
      </w:r>
      <w:r>
        <w:rPr>
          <w:rFonts w:ascii="FreeSerif" w:hAnsi="FreeSerif" w:eastAsia="FreeSerif" w:cs="FreeSerif"/>
          <w:sz w:val="28"/>
          <w:szCs w:val="28"/>
        </w:rPr>
        <w:t xml:space="preserve"> в  сумме </w:t>
      </w:r>
      <w:r>
        <w:rPr>
          <w:rFonts w:ascii="FreeSerif" w:hAnsi="FreeSerif" w:eastAsia="FreeSerif" w:cs="FreeSerif"/>
          <w:sz w:val="28"/>
          <w:szCs w:val="28"/>
        </w:rPr>
        <w:t xml:space="preserve">8303,2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на предоставление молодым семьям социальных выплат на приобретение (строительство) жилья.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«Развитие сельского хозяйства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Расходы на реализацию муниципальной программы </w:t>
      </w:r>
      <w:r>
        <w:rPr>
          <w:rFonts w:ascii="FreeSerif" w:hAnsi="FreeSerif" w:eastAsia="FreeSerif" w:cs="FreeSerif"/>
          <w:sz w:val="28"/>
          <w:szCs w:val="28"/>
        </w:rPr>
        <w:t xml:space="preserve">«Развитие сельского хозяйства в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 запланированы в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году в  сумме </w:t>
      </w:r>
      <w:r>
        <w:rPr>
          <w:rFonts w:ascii="FreeSerif" w:hAnsi="FreeSerif" w:eastAsia="FreeSerif" w:cs="FreeSerif"/>
          <w:sz w:val="28"/>
          <w:szCs w:val="28"/>
        </w:rPr>
        <w:t xml:space="preserve">6518,4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sz w:val="28"/>
          <w:szCs w:val="28"/>
        </w:rPr>
        <w:t xml:space="preserve">целях р</w:t>
      </w:r>
      <w:r>
        <w:rPr>
          <w:rFonts w:ascii="FreeSerif" w:hAnsi="FreeSerif" w:eastAsia="FreeSerif" w:cs="FreeSerif"/>
          <w:sz w:val="28"/>
          <w:szCs w:val="28"/>
        </w:rPr>
        <w:t xml:space="preserve">азвитие малых форм хозяйствования в агропромышленном комплексе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финансирование предусмотрено на осуществление отдельных государственных полномочий по поддержке сельскохозяйственного производства в Краснодарском крае: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в части предоставления субсидий гражданам, ведущим личное подсобное хозяйство, крестьянским (фермерским) хозяйствам, индивидуальным предпринимателям, ведущим деятельность в области сельскохозяйственного производства в сумме </w:t>
      </w:r>
      <w:r>
        <w:rPr>
          <w:rFonts w:ascii="FreeSerif" w:hAnsi="FreeSerif" w:eastAsia="FreeSerif" w:cs="FreeSerif"/>
          <w:sz w:val="28"/>
          <w:szCs w:val="28"/>
        </w:rPr>
        <w:t xml:space="preserve">3653,0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осуществление </w:t>
      </w:r>
      <w:r>
        <w:rPr>
          <w:rFonts w:ascii="FreeSerif" w:hAnsi="FreeSerif" w:eastAsia="FreeSerif" w:cs="FreeSerif"/>
          <w:sz w:val="28"/>
          <w:szCs w:val="28"/>
        </w:rPr>
        <w:t xml:space="preserve">отдельных государственных полномочий по поддержке сельскохозяйственного производства в Краснодарском крае </w:t>
      </w:r>
      <w:r>
        <w:rPr>
          <w:rFonts w:ascii="FreeSerif" w:hAnsi="FreeSerif" w:eastAsia="FreeSerif" w:cs="FreeSerif"/>
          <w:sz w:val="28"/>
          <w:szCs w:val="28"/>
        </w:rPr>
        <w:t xml:space="preserve">предусмотрено </w:t>
      </w:r>
      <w:r>
        <w:rPr>
          <w:rFonts w:ascii="FreeSerif" w:hAnsi="FreeSerif" w:eastAsia="FreeSerif" w:cs="FreeSerif"/>
          <w:sz w:val="28"/>
          <w:szCs w:val="28"/>
        </w:rPr>
        <w:t xml:space="preserve">1959,4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Профилактика экстремизма и терроризма на территории Ленинградского муниципального округ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Расходы на реализацию муниципальной программы «Профилактика экстремизма и терроризма на территории Ленинградского муниципального округ» запланированы в 2026 году в  сумме </w:t>
      </w:r>
      <w:r>
        <w:rPr>
          <w:rFonts w:ascii="FreeSerif" w:hAnsi="FreeSerif" w:eastAsia="FreeSerif" w:cs="FreeSerif"/>
          <w:sz w:val="28"/>
          <w:szCs w:val="28"/>
        </w:rPr>
        <w:t xml:space="preserve">1281,0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рамках исполнения обязательств по исполнению судебных постановлений, вынесенных по исковым заявлениям прокурора предусмотрено </w:t>
      </w:r>
      <w:r>
        <w:rPr>
          <w:rFonts w:ascii="FreeSerif" w:hAnsi="FreeSerif" w:eastAsia="FreeSerif" w:cs="FreeSerif"/>
          <w:sz w:val="28"/>
          <w:szCs w:val="28"/>
        </w:rPr>
        <w:t xml:space="preserve">445,0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на мероприятия по </w:t>
      </w:r>
      <w:r>
        <w:rPr>
          <w:rFonts w:ascii="FreeSerif" w:hAnsi="FreeSerif" w:eastAsia="FreeSerif" w:cs="FreeSerif"/>
          <w:sz w:val="28"/>
          <w:szCs w:val="28"/>
        </w:rPr>
        <w:t xml:space="preserve">оборудованию системами безопасности </w:t>
      </w:r>
      <w:r>
        <w:rPr>
          <w:rFonts w:ascii="FreeSerif" w:hAnsi="FreeSerif" w:eastAsia="FreeSerif" w:cs="FreeSerif"/>
          <w:sz w:val="28"/>
          <w:szCs w:val="28"/>
        </w:rPr>
        <w:t xml:space="preserve">образовательных организаци</w:t>
      </w:r>
      <w:r>
        <w:rPr>
          <w:rFonts w:ascii="FreeSerif" w:hAnsi="FreeSerif" w:eastAsia="FreeSerif" w:cs="FreeSerif"/>
          <w:sz w:val="28"/>
          <w:szCs w:val="28"/>
        </w:rPr>
        <w:t xml:space="preserve">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«Гармонизация межнациональных отношений и профилактика экстремизма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Расходы на реализацию данной муниципальной программы определены  в сумме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0,0 тыс. рублей. Средства будут направлены на реализацию мероприятий.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«Поддержка социально ориентированных некоммерческих организаций, осуществляющих свою деятельность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рамках данной программы будут предоставлены субсидии некоммерческим организациям в сумме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2437,0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рублей.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«Формирование современной городской среды»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рамках р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егиональн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проект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Формирование комфортной городской среды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предусмотрены средства на благоустройство общественной территории, расположенной в центральной части поселка Бичевого в размере 88562,6 тыс. рублей, работы будут проходить в два этапа  - 2026 и 2027 годы.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«Развитие архивного дела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реализацию муниципальной программы «Развитие архивного дела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 выделено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5566,1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рублей. В рамках реализации программы предусмотрено обеспечение деятельности муниципального казенного учреждения «Архив МО Ленинградский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муниципальный округ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«Противодействие коррупции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7" w:name="_Hlk213685257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исполнение мероприятий в рамках реализации вышеуказанной программы предусмотрены средства в сумме 50,0 тыс. рублей</w:t>
      </w:r>
      <w:bookmarkEnd w:id="7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«Комплексное и устойчивое развитие в муниципальном образовании Ленинградский муниципальный округ в сфере архитектуры и градостроительства»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Расходы на реализацию программа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году запланированы в размере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1070,0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для осуществления мероприятий по </w:t>
      </w:r>
      <w:r>
        <w:rPr>
          <w:rFonts w:ascii="FreeSerif" w:hAnsi="FreeSerif" w:eastAsia="FreeSerif" w:cs="FreeSerif"/>
          <w:sz w:val="28"/>
          <w:szCs w:val="28"/>
        </w:rPr>
        <w:t xml:space="preserve">разра</w:t>
      </w:r>
      <w:r>
        <w:rPr>
          <w:rFonts w:ascii="FreeSerif" w:hAnsi="FreeSerif" w:eastAsia="FreeSerif" w:cs="FreeSerif"/>
          <w:sz w:val="28"/>
          <w:szCs w:val="28"/>
        </w:rPr>
        <w:t xml:space="preserve">ботке нормативов градостроительного проектирования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остановк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на кадастровый учет территориальных зон на территории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«Комплексное развитие топливно-энергетического комплекса 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жилищно-коммунального хозяйства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Расходы на реализацию программа в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году запланированы в размере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600,0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на 2027 год – 11979,2 тыс. рублей и на 2028 год – 20769,3 тыс. рублей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рамках </w:t>
      </w:r>
      <w:bookmarkStart w:id="8" w:name="_Hlk151385305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организации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водоснабжения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населения </w:t>
      </w:r>
      <w:bookmarkEnd w:id="8"/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предусмотрены средства на проектно-сметную документацию по строительству объекта «Водозабор со станцией очистки воды в х. Ромашки и подводящий водопровод от х. Западного к х. Ромашки» в объеме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11979,2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рублей. 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2028 году запланировано строительство объекта «Подводящий газопровод высокого давления и ГРПШ для газификации домовладений поселка Солнечного муниципального образования Ленинградский муниципальный округ Краснодарского края».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«Обращение с твердыми коммунальными отходами на территории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В рамках реализации вышеуказанной программы будут проведены мероприятия по обустройству специализированных площадок с установкой контейнеров для складирования твердых коммунальных отходов на сумму 3</w:t>
      </w:r>
      <w:r>
        <w:rPr>
          <w:rFonts w:ascii="FreeSerif" w:hAnsi="FreeSerif" w:eastAsia="FreeSerif" w:cs="FreeSerif"/>
          <w:sz w:val="28"/>
          <w:szCs w:val="28"/>
        </w:rPr>
        <w:t xml:space="preserve">0</w:t>
      </w:r>
      <w:r>
        <w:rPr>
          <w:rFonts w:ascii="FreeSerif" w:hAnsi="FreeSerif" w:eastAsia="FreeSerif" w:cs="FreeSerif"/>
          <w:sz w:val="28"/>
          <w:szCs w:val="28"/>
        </w:rPr>
        <w:t xml:space="preserve">00,0 тыс. рублей; на 2</w:t>
      </w:r>
      <w:r>
        <w:rPr>
          <w:rFonts w:ascii="FreeSerif" w:hAnsi="FreeSerif" w:eastAsia="FreeSerif" w:cs="FreeSerif"/>
          <w:sz w:val="28"/>
          <w:szCs w:val="28"/>
        </w:rPr>
        <w:t xml:space="preserve">0</w:t>
      </w:r>
      <w:r>
        <w:rPr>
          <w:rFonts w:ascii="FreeSerif" w:hAnsi="FreeSerif" w:eastAsia="FreeSerif" w:cs="FreeSerif"/>
          <w:sz w:val="28"/>
          <w:szCs w:val="28"/>
        </w:rPr>
        <w:t xml:space="preserve">00,0 тыс. рублей будут приобретены в муниципальную </w:t>
      </w:r>
      <w:r>
        <w:rPr>
          <w:rFonts w:ascii="FreeSerif" w:hAnsi="FreeSerif" w:eastAsia="FreeSerif" w:cs="FreeSerif"/>
          <w:sz w:val="28"/>
          <w:szCs w:val="28"/>
        </w:rPr>
        <w:t xml:space="preserve">собственность контейнер</w:t>
      </w:r>
      <w:r>
        <w:rPr>
          <w:rFonts w:ascii="FreeSerif" w:hAnsi="FreeSerif" w:eastAsia="FreeSerif" w:cs="FreeSerif"/>
          <w:sz w:val="28"/>
          <w:szCs w:val="28"/>
        </w:rPr>
        <w:t xml:space="preserve">ы</w:t>
      </w:r>
      <w:r>
        <w:rPr>
          <w:rFonts w:ascii="FreeSerif" w:hAnsi="FreeSerif" w:eastAsia="FreeSerif" w:cs="FreeSerif"/>
          <w:sz w:val="28"/>
          <w:szCs w:val="28"/>
        </w:rPr>
        <w:t xml:space="preserve"> для сбора твердых коммунальных отходов, в том числе раздельного сбора.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«Информатизация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информационное обеспечение органов местного самоуправления направлено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9507,0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рублей. В рамках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реализации п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рограммы предусмотрено техническое и программное обеспечение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«Социальная поддержка граждан»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исполнение мероприятий в рамках реализации вышеуказанной программы выделены средства в сумме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400,0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в том числе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оказание адресной социальной помощи в натуральном виде или материальной помощи в виде денежных средств.</w:t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«Кадровая политика и развитие муниципальной службы администрации муниципального образования Ленинградский муниципальный округ Краснодарского края»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9" w:name="_Hlk182237215"/>
      <w:r>
        <w:rPr>
          <w:rFonts w:ascii="FreeSerif" w:hAnsi="FreeSerif" w:eastAsia="FreeSerif" w:cs="FreeSerif"/>
          <w:sz w:val="28"/>
          <w:szCs w:val="28"/>
        </w:rPr>
      </w:r>
      <w:bookmarkStart w:id="10" w:name="_Hlk213680568"/>
      <w:r>
        <w:rPr>
          <w:rFonts w:ascii="FreeSerif" w:hAnsi="FreeSerif" w:eastAsia="FreeSerif" w:cs="FreeSerif"/>
          <w:sz w:val="28"/>
          <w:szCs w:val="28"/>
        </w:rPr>
        <w:t xml:space="preserve">В рамках реализации вышеуказанной программы будут</w:t>
      </w:r>
      <w:bookmarkEnd w:id="9"/>
      <w:r>
        <w:rPr>
          <w:rFonts w:ascii="FreeSerif" w:hAnsi="FreeSerif" w:eastAsia="FreeSerif" w:cs="FreeSerif"/>
          <w:sz w:val="28"/>
          <w:szCs w:val="28"/>
        </w:rPr>
        <w:t xml:space="preserve"> проведены мероприятия, направленные в том числе на организацию профессионального развития муниципальных служащих. Общая сумма финансирования программы составит </w:t>
      </w:r>
      <w:r>
        <w:rPr>
          <w:rFonts w:ascii="FreeSerif" w:hAnsi="FreeSerif" w:eastAsia="FreeSerif" w:cs="FreeSerif"/>
          <w:sz w:val="28"/>
          <w:szCs w:val="28"/>
        </w:rPr>
        <w:t xml:space="preserve">1800,0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 </w:t>
      </w:r>
      <w:bookmarkEnd w:id="10"/>
      <w:r>
        <w:rPr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«Управление муниципальным имуществом и земельными ресурсами»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исполнение мероприятий в рамках реализации вышеуказанной программы выделены средства в сумме </w:t>
      </w:r>
      <w:r>
        <w:rPr>
          <w:rFonts w:ascii="FreeSerif" w:hAnsi="FreeSerif" w:eastAsia="FreeSerif" w:cs="FreeSerif"/>
          <w:sz w:val="28"/>
          <w:szCs w:val="28"/>
        </w:rPr>
        <w:t xml:space="preserve">180</w:t>
      </w:r>
      <w:r>
        <w:rPr>
          <w:rFonts w:ascii="FreeSerif" w:hAnsi="FreeSerif" w:eastAsia="FreeSerif" w:cs="FreeSerif"/>
          <w:sz w:val="28"/>
          <w:szCs w:val="28"/>
        </w:rPr>
        <w:t xml:space="preserve">0,0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, в том числе на формирование земельных участков, предназначенных для предоставления гражданам, имеющим трех и более детей.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Повышение рождаемости в Ленинградском 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исполнение мероприятий в рамках реализации вышеуказанной программы выделены средства в сумме </w:t>
      </w:r>
      <w:r>
        <w:rPr>
          <w:rFonts w:ascii="FreeSerif" w:hAnsi="FreeSerif" w:eastAsia="FreeSerif" w:cs="FreeSerif"/>
          <w:sz w:val="28"/>
          <w:szCs w:val="28"/>
        </w:rPr>
        <w:t xml:space="preserve">1185,0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в том числе на организацию оздоровления детей и подростков, находящихся в трудной жизненной ситуации в летний период.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11" w:name="_Hlk213685911"/>
      <w:r>
        <w:rPr>
          <w:rFonts w:ascii="FreeSerif" w:hAnsi="FreeSerif" w:eastAsia="FreeSerif" w:cs="FreeSerif"/>
          <w:sz w:val="28"/>
          <w:szCs w:val="28"/>
        </w:rPr>
        <w:t xml:space="preserve">В рамках реализации вышеуказанной программы будут</w:t>
      </w:r>
      <w:bookmarkEnd w:id="11"/>
      <w:r>
        <w:rPr>
          <w:rFonts w:ascii="FreeSerif" w:hAnsi="FreeSerif" w:eastAsia="FreeSerif" w:cs="FreeSerif"/>
          <w:sz w:val="28"/>
          <w:szCs w:val="28"/>
        </w:rPr>
        <w:t xml:space="preserve"> про</w:t>
      </w:r>
      <w:r>
        <w:rPr>
          <w:rFonts w:ascii="FreeSerif" w:hAnsi="FreeSerif" w:eastAsia="FreeSerif" w:cs="FreeSerif"/>
          <w:sz w:val="28"/>
          <w:szCs w:val="28"/>
        </w:rPr>
        <w:t xml:space="preserve">из</w:t>
      </w:r>
      <w:r>
        <w:rPr>
          <w:rFonts w:ascii="FreeSerif" w:hAnsi="FreeSerif" w:eastAsia="FreeSerif" w:cs="FreeSerif"/>
          <w:sz w:val="28"/>
          <w:szCs w:val="28"/>
        </w:rPr>
        <w:t xml:space="preserve">ведены </w:t>
      </w:r>
      <w:r>
        <w:rPr>
          <w:rFonts w:ascii="FreeSerif" w:hAnsi="FreeSerif" w:eastAsia="FreeSerif" w:cs="FreeSerif"/>
          <w:sz w:val="28"/>
          <w:szCs w:val="28"/>
        </w:rPr>
        <w:t xml:space="preserve">компенсационные выплаты руководителям органов территориального общественного самоуправления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. Общая сумма финансирования программы составит </w:t>
      </w:r>
      <w:r>
        <w:rPr>
          <w:rFonts w:ascii="FreeSerif" w:hAnsi="FreeSerif" w:eastAsia="FreeSerif" w:cs="FreeSerif"/>
          <w:sz w:val="28"/>
          <w:szCs w:val="28"/>
        </w:rPr>
        <w:t xml:space="preserve">27</w:t>
      </w:r>
      <w:r>
        <w:rPr>
          <w:rFonts w:ascii="FreeSerif" w:hAnsi="FreeSerif" w:eastAsia="FreeSerif" w:cs="FreeSerif"/>
          <w:sz w:val="28"/>
          <w:szCs w:val="28"/>
        </w:rPr>
        <w:t xml:space="preserve">00,0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</w:t>
      </w:r>
      <w:r>
        <w:rPr>
          <w:rFonts w:ascii="FreeSerif" w:hAnsi="FreeSerif" w:eastAsia="FreeSerif" w:cs="FreeSerif"/>
          <w:sz w:val="28"/>
          <w:szCs w:val="28"/>
        </w:rPr>
        <w:t xml:space="preserve">Развитие и содержание улично-дорожной сети в обеспечении безопасности дорожного движения в муниципальном образовании 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исполнение вышеуказанной программы предусмотрены средства в сумме </w:t>
      </w:r>
      <w:r>
        <w:rPr>
          <w:rFonts w:ascii="FreeSerif" w:hAnsi="FreeSerif" w:eastAsia="FreeSerif" w:cs="FreeSerif"/>
          <w:sz w:val="28"/>
          <w:szCs w:val="28"/>
        </w:rPr>
        <w:t xml:space="preserve">73841,4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. В рамках исполнения мероприятий будут осуществляться расходы, предусмотренные на д</w:t>
      </w:r>
      <w:r>
        <w:rPr>
          <w:rFonts w:ascii="FreeSerif" w:hAnsi="FreeSerif" w:eastAsia="FreeSerif" w:cs="FreeSerif"/>
          <w:sz w:val="28"/>
          <w:szCs w:val="28"/>
        </w:rPr>
        <w:t xml:space="preserve">орожный фонд администрации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«Развитие пассажирских перевозок автомобильным транспортом по муниципальным маршрутам границах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рамках реализации вышеуказанной программы </w:t>
      </w:r>
      <w:r>
        <w:rPr>
          <w:rFonts w:ascii="FreeSerif" w:hAnsi="FreeSerif" w:eastAsia="FreeSerif" w:cs="FreeSerif"/>
          <w:sz w:val="28"/>
          <w:szCs w:val="28"/>
        </w:rPr>
        <w:t xml:space="preserve">средства в размере 33000,0 будут направлены н</w:t>
      </w:r>
      <w:r>
        <w:rPr>
          <w:rFonts w:ascii="FreeSerif" w:hAnsi="FreeSerif" w:eastAsia="FreeSerif" w:cs="FreeSerif"/>
          <w:sz w:val="28"/>
          <w:szCs w:val="28"/>
        </w:rPr>
        <w:t xml:space="preserve">а оплату услуг по осуществлению регулярных пассажирских перевозок по муниципальным маршрутам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3.2. Непрограммные расходы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непрограммных расходах отражены расходы на обеспечение деятельности 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главы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Контрольно-счетной палаты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на </w:t>
      </w:r>
      <w:r>
        <w:rPr>
          <w:rFonts w:ascii="FreeSerif" w:hAnsi="FreeSerif" w:eastAsia="FreeSerif" w:cs="FreeSerif"/>
          <w:sz w:val="28"/>
          <w:szCs w:val="28"/>
        </w:rPr>
        <w:t xml:space="preserve">обеспечение деятельности отдельных муниципальных учреждений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а также расходы на реализацию отдельных мероприятий, не предусмотренных в рамках муниципальных программ.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На обеспечение деятельности главы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предусмотрены средства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3714,5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обеспечение деятельности 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предусмотрены средства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– 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0,0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расходах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 как главного распорядителя средств бюджета учтены следующие расходы: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на обеспечение деятельности муниципальных казенных учреждений, подведомственных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– </w:t>
      </w:r>
      <w:r>
        <w:rPr>
          <w:rFonts w:ascii="FreeSerif" w:hAnsi="FreeSerif" w:eastAsia="FreeSerif" w:cs="FreeSerif"/>
          <w:sz w:val="28"/>
          <w:szCs w:val="28"/>
        </w:rPr>
        <w:t xml:space="preserve">207861,5 </w:t>
      </w:r>
      <w:r>
        <w:rPr>
          <w:rFonts w:ascii="FreeSerif" w:hAnsi="FreeSerif" w:eastAsia="FreeSerif" w:cs="FreeSerif"/>
          <w:sz w:val="28"/>
          <w:szCs w:val="28"/>
        </w:rPr>
        <w:t xml:space="preserve">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осуществление первичного воинского учета органами местного самоуправления поселений, муниципальных и городских округов – </w:t>
      </w:r>
      <w:r>
        <w:rPr>
          <w:rFonts w:ascii="FreeSerif" w:hAnsi="FreeSerif" w:eastAsia="FreeSerif" w:cs="FreeSerif"/>
          <w:sz w:val="28"/>
          <w:szCs w:val="28"/>
        </w:rPr>
        <w:t xml:space="preserve">6013,8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осуществление отдельных государственных полномочий по созданию и организации деятельности комиссий по делам несовершеннолетних и защите их прав в сумме </w:t>
      </w:r>
      <w:r>
        <w:rPr>
          <w:rFonts w:ascii="FreeSerif" w:hAnsi="FreeSerif" w:eastAsia="FreeSerif" w:cs="FreeSerif"/>
          <w:sz w:val="28"/>
          <w:szCs w:val="28"/>
        </w:rPr>
        <w:t xml:space="preserve">4028,4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сумме </w:t>
      </w:r>
      <w:r>
        <w:rPr>
          <w:rFonts w:ascii="FreeSerif" w:hAnsi="FreeSerif" w:eastAsia="FreeSerif" w:cs="FreeSerif"/>
          <w:sz w:val="28"/>
          <w:szCs w:val="28"/>
        </w:rPr>
        <w:t xml:space="preserve">87,5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осуществление отдельных государственных полномочий по ведению учета граждан отдельных категорий в качестве, нуждающихся в жилых помещениях в сумме </w:t>
      </w:r>
      <w:r>
        <w:rPr>
          <w:rFonts w:ascii="FreeSerif" w:hAnsi="FreeSerif" w:eastAsia="FreeSerif" w:cs="FreeSerif"/>
          <w:sz w:val="28"/>
          <w:szCs w:val="28"/>
        </w:rPr>
        <w:t xml:space="preserve">982,7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Обеспечение жилыми помещениями детей-сирот и детей, оставшихся без попечения родителей, и лиц из их числа будет осуществляться за счет, выделенной из краевого бюджета субвенции на сумму </w:t>
      </w:r>
      <w:r>
        <w:rPr>
          <w:rFonts w:ascii="FreeSerif" w:hAnsi="FreeSerif" w:eastAsia="FreeSerif" w:cs="FreeSerif"/>
          <w:sz w:val="28"/>
          <w:szCs w:val="28"/>
        </w:rPr>
        <w:t xml:space="preserve">38894,6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Резервный фонд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году составит 300,0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"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обеспечение деятельности отраслевых (функциональных) органов местной администрации, расходы по которым не отражены по муниципальным программам, предусмотрены расходы </w:t>
      </w:r>
      <w:r>
        <w:rPr>
          <w:rFonts w:ascii="FreeSerif" w:hAnsi="FreeSerif" w:eastAsia="FreeSerif" w:cs="FreeSerif"/>
          <w:sz w:val="28"/>
          <w:szCs w:val="28"/>
        </w:rPr>
        <w:t xml:space="preserve">в сумме </w:t>
      </w:r>
      <w:bookmarkStart w:id="12" w:name="_Hlk213753501"/>
      <w:r>
        <w:rPr>
          <w:rFonts w:ascii="FreeSerif" w:hAnsi="FreeSerif" w:eastAsia="FreeSerif" w:cs="FreeSerif"/>
          <w:sz w:val="28"/>
          <w:szCs w:val="28"/>
        </w:rPr>
        <w:t xml:space="preserve">141278,2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bookmarkEnd w:id="12"/>
      <w:r>
        <w:rPr>
          <w:rFonts w:ascii="FreeSerif" w:hAnsi="FreeSerif" w:eastAsia="FreeSerif" w:cs="FreeSerif"/>
          <w:sz w:val="28"/>
          <w:szCs w:val="28"/>
        </w:rPr>
        <w:t xml:space="preserve">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"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рамках ассигнований, определенных на исполнение прочих обязательств органов местного самоуправления предусмотрены средства на проведение мероприятий и оплату услуг средствам массовой информации на общую сумму </w:t>
      </w:r>
      <w:r>
        <w:rPr>
          <w:rFonts w:ascii="FreeSerif" w:hAnsi="FreeSerif" w:eastAsia="FreeSerif" w:cs="FreeSerif"/>
          <w:sz w:val="28"/>
          <w:szCs w:val="28"/>
        </w:rPr>
        <w:t xml:space="preserve">6321,6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"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Органи</w:t>
      </w:r>
      <w:r>
        <w:rPr>
          <w:rFonts w:ascii="FreeSerif" w:hAnsi="FreeSerif" w:eastAsia="FreeSerif" w:cs="FreeSerif"/>
          <w:sz w:val="28"/>
          <w:szCs w:val="28"/>
        </w:rPr>
        <w:t xml:space="preserve">зация благоустройства территории муниципального образования Ленинградский муниципальный округ, организация и содержание мест захоронения, содержание памятников истории и искусства будет осуществляться в пределах направленных на эти цели средств в размере  </w:t>
      </w:r>
      <w:r>
        <w:rPr>
          <w:rFonts w:ascii="FreeSerif" w:hAnsi="FreeSerif" w:eastAsia="FreeSerif" w:cs="FreeSerif"/>
          <w:sz w:val="28"/>
          <w:szCs w:val="28"/>
        </w:rPr>
        <w:t xml:space="preserve">7459,0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"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Для обеспечение эпизоотического благополучия в Ленинградском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муниципальном округе</w:t>
      </w:r>
      <w:r>
        <w:rPr>
          <w:rFonts w:ascii="FreeSerif" w:hAnsi="FreeSerif" w:eastAsia="FreeSerif" w:cs="FreeSerif"/>
          <w:sz w:val="28"/>
          <w:szCs w:val="28"/>
        </w:rPr>
        <w:t xml:space="preserve"> будут осуществляться мероприятия по предупреждению и ликвидации болезней животных в части регулирования численности безнадзорных животных в сумме </w:t>
      </w:r>
      <w:r>
        <w:rPr>
          <w:rFonts w:ascii="FreeSerif" w:hAnsi="FreeSerif" w:eastAsia="FreeSerif" w:cs="FreeSerif"/>
          <w:sz w:val="28"/>
          <w:szCs w:val="28"/>
        </w:rPr>
        <w:t xml:space="preserve">954</w:t>
      </w:r>
      <w:r>
        <w:rPr>
          <w:rFonts w:ascii="FreeSerif" w:hAnsi="FreeSerif" w:eastAsia="FreeSerif" w:cs="FreeSerif"/>
          <w:sz w:val="28"/>
          <w:szCs w:val="28"/>
        </w:rPr>
        <w:t xml:space="preserve">,0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"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 разделу «Социальна политика» учтены расходы на дополнительное пенсионное обеспечение согласно Решению Совета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от </w:t>
      </w:r>
      <w:r>
        <w:rPr>
          <w:rFonts w:ascii="FreeSerif" w:hAnsi="FreeSerif" w:eastAsia="FreeSerif" w:cs="FreeSerif"/>
          <w:sz w:val="28"/>
          <w:szCs w:val="28"/>
        </w:rPr>
        <w:t xml:space="preserve">24 октября </w:t>
      </w:r>
      <w:r>
        <w:rPr>
          <w:rFonts w:ascii="FreeSerif" w:hAnsi="FreeSerif" w:eastAsia="FreeSerif" w:cs="FreeSerif"/>
          <w:sz w:val="28"/>
          <w:szCs w:val="28"/>
        </w:rPr>
        <w:t xml:space="preserve">2025</w:t>
      </w:r>
      <w:r>
        <w:rPr>
          <w:rFonts w:ascii="FreeSerif" w:hAnsi="FreeSerif" w:eastAsia="FreeSerif" w:cs="FreeSerif"/>
          <w:sz w:val="28"/>
          <w:szCs w:val="28"/>
        </w:rPr>
        <w:t xml:space="preserve"> г.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eastAsia="FreeSerif" w:cs="FreeSerif"/>
          <w:sz w:val="28"/>
          <w:szCs w:val="28"/>
        </w:rPr>
        <w:t xml:space="preserve">40</w:t>
      </w:r>
      <w:r>
        <w:rPr>
          <w:rFonts w:ascii="FreeSerif" w:hAnsi="FreeSerif" w:eastAsia="FreeSerif" w:cs="FreeSerif"/>
          <w:sz w:val="28"/>
          <w:szCs w:val="28"/>
        </w:rPr>
        <w:t xml:space="preserve"> «</w:t>
      </w:r>
      <w:r>
        <w:rPr>
          <w:rFonts w:ascii="FreeSerif" w:hAnsi="FreeSerif" w:eastAsia="FreeSerif" w:cs="FreeSerif"/>
          <w:sz w:val="28"/>
          <w:szCs w:val="28"/>
        </w:rPr>
        <w:t xml:space="preserve">О пенсии за выслугу лет лицам, замещавшим муниципальные должности и должности муниципальной службы в органах местного самоуправления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– </w:t>
      </w:r>
      <w:r>
        <w:rPr>
          <w:rFonts w:ascii="FreeSerif" w:hAnsi="FreeSerif" w:eastAsia="FreeSerif" w:cs="FreeSerif"/>
          <w:sz w:val="28"/>
          <w:szCs w:val="28"/>
        </w:rPr>
        <w:t xml:space="preserve">18199,3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"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Предусмотрены средства в размере 15000,0 тыс. рублей на д</w:t>
      </w:r>
      <w:r>
        <w:rPr>
          <w:rFonts w:ascii="FreeSerif" w:hAnsi="FreeSerif" w:eastAsia="FreeSerif" w:cs="FreeSerif"/>
          <w:sz w:val="28"/>
          <w:szCs w:val="28"/>
        </w:rPr>
        <w:t xml:space="preserve">ополнительные меры социальной поддержки в виде единовременной денежной </w:t>
      </w:r>
      <w:r>
        <w:rPr>
          <w:rFonts w:ascii="FreeSerif" w:hAnsi="FreeSerif" w:eastAsia="FreeSerif" w:cs="FreeSerif"/>
          <w:sz w:val="28"/>
          <w:szCs w:val="28"/>
        </w:rPr>
        <w:t xml:space="preserve">выплаты отдельным категориям граждан в муниципальном образовании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рамках реализации вопросов семьи и детства предусмотрены средства: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tabs>
          <w:tab w:val="left" w:pos="55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осуществление отдельных государственных полномочий по предоставлению ежемесячных денежных выплат на содержание детей-сирот и детей, о</w:t>
      </w:r>
      <w:r>
        <w:rPr>
          <w:rFonts w:ascii="FreeSerif" w:hAnsi="FreeSerif" w:eastAsia="FreeSerif" w:cs="FreeSerif"/>
          <w:sz w:val="28"/>
          <w:szCs w:val="28"/>
        </w:rPr>
        <w:t xml:space="preserve">ставшихся без попечения родителей, находящихся под опекой (попечительством) или переданных на воспитание в приемные семьи;  по обеспечению выплаты ежемесячного вознаграждения, причитающегося приемным родителям за оказание услуг по воспитанию приемных детей</w:t>
      </w:r>
      <w:r>
        <w:rPr>
          <w:rFonts w:ascii="FreeSerif" w:hAnsi="FreeSerif" w:eastAsia="FreeSerif" w:cs="FreeSerif"/>
          <w:sz w:val="28"/>
          <w:szCs w:val="28"/>
        </w:rPr>
        <w:t xml:space="preserve"> на общую сумму </w:t>
      </w:r>
      <w:r>
        <w:rPr>
          <w:rFonts w:ascii="FreeSerif" w:hAnsi="FreeSerif" w:eastAsia="FreeSerif" w:cs="FreeSerif"/>
          <w:sz w:val="28"/>
          <w:szCs w:val="28"/>
        </w:rPr>
        <w:t xml:space="preserve">55012,9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tabs>
          <w:tab w:val="left" w:pos="55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 </w:t>
      </w:r>
      <w:r>
        <w:rPr>
          <w:rFonts w:ascii="FreeSerif" w:hAnsi="FreeSerif" w:eastAsia="FreeSerif" w:cs="FreeSerif"/>
          <w:sz w:val="28"/>
          <w:szCs w:val="28"/>
        </w:rPr>
        <w:t xml:space="preserve">5230,5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tabs>
          <w:tab w:val="left" w:pos="55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осуществление отдельных государственных полн</w:t>
      </w:r>
      <w:r>
        <w:rPr>
          <w:rFonts w:ascii="FreeSerif" w:hAnsi="FreeSerif" w:eastAsia="FreeSerif" w:cs="FreeSerif"/>
          <w:sz w:val="28"/>
          <w:szCs w:val="28"/>
        </w:rPr>
        <w:t xml:space="preserve">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</w:t>
      </w:r>
      <w:r>
        <w:rPr>
          <w:rFonts w:ascii="FreeSerif" w:hAnsi="FreeSerif" w:eastAsia="FreeSerif" w:cs="FreeSerif"/>
          <w:sz w:val="28"/>
          <w:szCs w:val="28"/>
        </w:rPr>
        <w:t xml:space="preserve">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 </w:t>
      </w:r>
      <w:r>
        <w:rPr>
          <w:rFonts w:ascii="FreeSerif" w:hAnsi="FreeSerif" w:eastAsia="FreeSerif" w:cs="FreeSerif"/>
          <w:sz w:val="28"/>
          <w:szCs w:val="28"/>
        </w:rPr>
        <w:t xml:space="preserve">1318,4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tabs>
          <w:tab w:val="left" w:pos="55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осуществление отдельных государственных полномочий по организации оздоровления и отдыха детей </w:t>
      </w:r>
      <w:r>
        <w:rPr>
          <w:rFonts w:ascii="FreeSerif" w:hAnsi="FreeSerif" w:eastAsia="FreeSerif" w:cs="FreeSerif"/>
          <w:sz w:val="28"/>
          <w:szCs w:val="28"/>
        </w:rPr>
        <w:t xml:space="preserve">982,9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обеспечение деятельности финансового управления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предусмотрено </w:t>
      </w:r>
      <w:r>
        <w:rPr>
          <w:rFonts w:ascii="FreeSerif" w:hAnsi="FreeSerif" w:eastAsia="FreeSerif" w:cs="FreeSerif"/>
          <w:sz w:val="28"/>
          <w:szCs w:val="28"/>
        </w:rPr>
        <w:t xml:space="preserve">17894,2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tabs>
          <w:tab w:val="left" w:pos="5520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 обеспечение деятельности контрольно-счетной палаты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предусмотрено </w:t>
      </w:r>
      <w:r>
        <w:rPr>
          <w:rFonts w:ascii="FreeSerif" w:hAnsi="FreeSerif" w:eastAsia="FreeSerif" w:cs="FreeSerif"/>
          <w:sz w:val="28"/>
          <w:szCs w:val="28"/>
        </w:rPr>
        <w:t xml:space="preserve">5381,1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рублей.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851"/>
        <w:jc w:val="both"/>
        <w:spacing w:line="240" w:lineRule="auto"/>
        <w:tabs>
          <w:tab w:val="left" w:pos="552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851"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 ИСТОЧНИКИ ФИНАНСИРОВАНИЯ ДЕФИЦИТА БЮДЖЕТА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источниках внутреннего финансирования дефицита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в соответствии с условиями действующих долговых обязательств, а также  проектами программ муниципальных внутренних заимствований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предусмотрены средства на погашение бюджетных кредитов </w:t>
      </w:r>
      <w:r>
        <w:rPr>
          <w:rFonts w:ascii="FreeSerif" w:hAnsi="FreeSerif" w:eastAsia="FreeSerif" w:cs="FreeSerif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году в размере </w:t>
      </w:r>
      <w:r>
        <w:rPr>
          <w:rFonts w:ascii="FreeSerif" w:hAnsi="FreeSerif" w:eastAsia="FreeSerif" w:cs="FreeSerif"/>
          <w:sz w:val="28"/>
          <w:szCs w:val="28"/>
        </w:rPr>
        <w:t xml:space="preserve">3542,5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r>
        <w:rPr>
          <w:rFonts w:ascii="FreeSerif" w:hAnsi="FreeSerif" w:eastAsia="FreeSerif" w:cs="FreeSerif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– </w:t>
      </w:r>
      <w:r>
        <w:rPr>
          <w:rFonts w:ascii="FreeSerif" w:hAnsi="FreeSerif" w:eastAsia="FreeSerif" w:cs="FreeSerif"/>
          <w:sz w:val="28"/>
          <w:szCs w:val="28"/>
        </w:rPr>
        <w:t xml:space="preserve">7085,0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в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- </w:t>
      </w:r>
      <w:r>
        <w:rPr>
          <w:rFonts w:ascii="FreeSerif" w:hAnsi="FreeSerif" w:eastAsia="FreeSerif" w:cs="FreeSerif"/>
          <w:sz w:val="28"/>
          <w:szCs w:val="28"/>
        </w:rPr>
        <w:t xml:space="preserve">0,</w:t>
      </w:r>
      <w:r>
        <w:rPr>
          <w:rFonts w:ascii="FreeSerif" w:hAnsi="FreeSerif" w:eastAsia="FreeSerif" w:cs="FreeSerif"/>
          <w:sz w:val="28"/>
          <w:szCs w:val="28"/>
        </w:rPr>
        <w:t xml:space="preserve">0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, и на п</w:t>
      </w:r>
      <w:r>
        <w:rPr>
          <w:rFonts w:ascii="FreeSerif" w:hAnsi="FreeSerif" w:eastAsia="FreeSerif" w:cs="FreeSerif"/>
          <w:sz w:val="28"/>
          <w:szCs w:val="28"/>
        </w:rPr>
        <w:t xml:space="preserve">олучение бюджетами муниципальных округов кредитов от кредитных организаций в валюте Российской Федерации</w:t>
      </w:r>
      <w:r>
        <w:rPr>
          <w:rFonts w:ascii="FreeSerif" w:hAnsi="FreeSerif" w:eastAsia="FreeSerif" w:cs="FreeSerif"/>
          <w:sz w:val="28"/>
          <w:szCs w:val="28"/>
        </w:rPr>
        <w:t xml:space="preserve"> в размере 57000,0 тыс. рублей, а также их возврат.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709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Долговая нагрузка на бюджет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соответствует требования бюджетного законодательства.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jc w:val="both"/>
        <w:spacing w:line="240" w:lineRule="auto"/>
        <w:rPr>
          <w:rFonts w:ascii="FreeSerif" w:hAnsi="FreeSerif" w:cs="FreeSerif"/>
          <w:sz w:val="28"/>
          <w:szCs w:val="28"/>
          <w:highlight w:val="yellow"/>
        </w:rPr>
      </w:pPr>
      <w:r>
        <w:rPr>
          <w:rFonts w:ascii="FreeSerif" w:hAnsi="FreeSerif" w:eastAsia="FreeSerif" w:cs="FreeSerif"/>
          <w:sz w:val="28"/>
          <w:szCs w:val="28"/>
          <w:highlight w:val="yellow"/>
        </w:rPr>
      </w:r>
      <w:r>
        <w:rPr>
          <w:rFonts w:ascii="FreeSerif" w:hAnsi="FreeSerif" w:cs="FreeSerif"/>
          <w:sz w:val="28"/>
          <w:szCs w:val="28"/>
          <w:highlight w:val="yellow"/>
        </w:rPr>
      </w:r>
    </w:p>
    <w:p>
      <w:pPr>
        <w:contextualSpacing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Ленинградского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, начальник 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both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финансового управления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                                      </w:t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С.В.Тертица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8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9</w:t>
    </w:r>
    <w:r>
      <w:fldChar w:fldCharType="end"/>
    </w:r>
    <w:r/>
  </w:p>
  <w:p>
    <w:pPr>
      <w:pStyle w:val="68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7"/>
    <w:link w:val="676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75"/>
    <w:next w:val="675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7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75"/>
    <w:next w:val="675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7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75"/>
    <w:next w:val="67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7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5"/>
    <w:next w:val="67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7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5"/>
    <w:next w:val="67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7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5"/>
    <w:next w:val="67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7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5"/>
    <w:next w:val="67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7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5"/>
    <w:next w:val="67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7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75"/>
    <w:next w:val="67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7"/>
    <w:link w:val="34"/>
    <w:uiPriority w:val="10"/>
    <w:rPr>
      <w:sz w:val="48"/>
      <w:szCs w:val="48"/>
    </w:rPr>
  </w:style>
  <w:style w:type="paragraph" w:styleId="36">
    <w:name w:val="Subtitle"/>
    <w:basedOn w:val="675"/>
    <w:next w:val="67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7"/>
    <w:link w:val="36"/>
    <w:uiPriority w:val="11"/>
    <w:rPr>
      <w:sz w:val="24"/>
      <w:szCs w:val="24"/>
    </w:rPr>
  </w:style>
  <w:style w:type="paragraph" w:styleId="38">
    <w:name w:val="Quote"/>
    <w:basedOn w:val="675"/>
    <w:next w:val="67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5"/>
    <w:next w:val="67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7"/>
    <w:link w:val="687"/>
    <w:uiPriority w:val="99"/>
  </w:style>
  <w:style w:type="character" w:styleId="45">
    <w:name w:val="Footer Char"/>
    <w:basedOn w:val="677"/>
    <w:link w:val="689"/>
    <w:uiPriority w:val="99"/>
  </w:style>
  <w:style w:type="paragraph" w:styleId="46">
    <w:name w:val="Caption"/>
    <w:basedOn w:val="675"/>
    <w:next w:val="67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89"/>
    <w:uiPriority w:val="99"/>
  </w:style>
  <w:style w:type="table" w:styleId="49">
    <w:name w:val="Table Grid Light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7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7"/>
    <w:uiPriority w:val="99"/>
    <w:unhideWhenUsed/>
    <w:rPr>
      <w:vertAlign w:val="superscript"/>
    </w:rPr>
  </w:style>
  <w:style w:type="paragraph" w:styleId="178">
    <w:name w:val="endnote text"/>
    <w:basedOn w:val="67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7"/>
    <w:uiPriority w:val="99"/>
    <w:semiHidden/>
    <w:unhideWhenUsed/>
    <w:rPr>
      <w:vertAlign w:val="superscript"/>
    </w:rPr>
  </w:style>
  <w:style w:type="paragraph" w:styleId="181">
    <w:name w:val="toc 1"/>
    <w:basedOn w:val="675"/>
    <w:next w:val="67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5"/>
    <w:next w:val="67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5"/>
    <w:next w:val="67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5"/>
    <w:next w:val="67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5"/>
    <w:next w:val="67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5"/>
    <w:next w:val="67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5"/>
    <w:next w:val="67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5"/>
    <w:next w:val="67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5"/>
    <w:next w:val="67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5"/>
    <w:next w:val="675"/>
    <w:uiPriority w:val="99"/>
    <w:unhideWhenUsed/>
    <w:pPr>
      <w:spacing w:after="0" w:afterAutospacing="0"/>
    </w:pPr>
  </w:style>
  <w:style w:type="paragraph" w:styleId="675" w:default="1">
    <w:name w:val="Normal"/>
    <w:qFormat/>
    <w:rPr>
      <w:rFonts w:ascii="Times New Roman" w:hAnsi="Times New Roman" w:eastAsia="Times New Roman"/>
      <w:sz w:val="28"/>
      <w:szCs w:val="20"/>
    </w:rPr>
  </w:style>
  <w:style w:type="paragraph" w:styleId="676">
    <w:name w:val="Heading 1"/>
    <w:basedOn w:val="675"/>
    <w:next w:val="675"/>
    <w:link w:val="680"/>
    <w:uiPriority w:val="99"/>
    <w:qFormat/>
    <w:pPr>
      <w:jc w:val="center"/>
      <w:keepNext/>
      <w:outlineLvl w:val="0"/>
    </w:pPr>
    <w:rPr>
      <w:b/>
    </w:rPr>
  </w:style>
  <w:style w:type="character" w:styleId="677" w:default="1">
    <w:name w:val="Default Paragraph Font"/>
    <w:uiPriority w:val="1"/>
    <w:semiHidden/>
    <w:unhideWhenUsed/>
  </w:style>
  <w:style w:type="table" w:styleId="67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9" w:default="1">
    <w:name w:val="No List"/>
    <w:uiPriority w:val="99"/>
    <w:semiHidden/>
    <w:unhideWhenUsed/>
  </w:style>
  <w:style w:type="character" w:styleId="680" w:customStyle="1">
    <w:name w:val="Заголовок 1 Знак"/>
    <w:basedOn w:val="677"/>
    <w:link w:val="676"/>
    <w:uiPriority w:val="99"/>
    <w:rPr>
      <w:rFonts w:ascii="Times New Roman" w:hAnsi="Times New Roman" w:cs="Times New Roman"/>
      <w:b/>
      <w:sz w:val="20"/>
      <w:szCs w:val="20"/>
      <w:lang w:eastAsia="ru-RU"/>
    </w:rPr>
  </w:style>
  <w:style w:type="paragraph" w:styleId="681" w:customStyle="1">
    <w:name w:val="ConsPlusTitle"/>
    <w:uiPriority w:val="99"/>
    <w:rPr>
      <w:rFonts w:ascii="Arial" w:hAnsi="Arial" w:eastAsia="Times New Roman" w:cs="Arial"/>
      <w:b/>
      <w:bCs/>
      <w:sz w:val="20"/>
      <w:szCs w:val="20"/>
    </w:rPr>
  </w:style>
  <w:style w:type="paragraph" w:styleId="682" w:customStyle="1">
    <w:name w:val="ConsTitle"/>
    <w:uiPriority w:val="99"/>
    <w:pPr>
      <w:widowControl w:val="off"/>
    </w:pPr>
    <w:rPr>
      <w:rFonts w:ascii="Arial" w:hAnsi="Arial" w:eastAsia="Times New Roman"/>
      <w:b/>
      <w:sz w:val="16"/>
      <w:szCs w:val="20"/>
    </w:rPr>
  </w:style>
  <w:style w:type="paragraph" w:styleId="683" w:customStyle="1">
    <w:name w:val="Char Char Car Car Char Char Car Car Char Char Car Car Char Char"/>
    <w:basedOn w:val="675"/>
    <w:uiPriority w:val="99"/>
    <w:pPr>
      <w:spacing w:after="160" w:line="240" w:lineRule="exact"/>
    </w:pPr>
    <w:rPr>
      <w:sz w:val="20"/>
    </w:rPr>
  </w:style>
  <w:style w:type="paragraph" w:styleId="684">
    <w:name w:val="List Paragraph"/>
    <w:basedOn w:val="675"/>
    <w:uiPriority w:val="99"/>
    <w:qFormat/>
    <w:pPr>
      <w:contextualSpacing/>
      <w:ind w:left="720"/>
    </w:pPr>
  </w:style>
  <w:style w:type="paragraph" w:styleId="685">
    <w:name w:val="Body Text Indent 2"/>
    <w:basedOn w:val="675"/>
    <w:link w:val="686"/>
    <w:uiPriority w:val="99"/>
    <w:pPr>
      <w:ind w:firstLine="567"/>
      <w:jc w:val="both"/>
    </w:pPr>
  </w:style>
  <w:style w:type="character" w:styleId="686" w:customStyle="1">
    <w:name w:val="Основной текст с отступом 2 Знак"/>
    <w:basedOn w:val="677"/>
    <w:link w:val="685"/>
    <w:uiPriority w:val="99"/>
    <w:rPr>
      <w:rFonts w:ascii="Times New Roman" w:hAnsi="Times New Roman" w:cs="Times New Roman"/>
      <w:sz w:val="20"/>
      <w:szCs w:val="20"/>
    </w:rPr>
  </w:style>
  <w:style w:type="paragraph" w:styleId="687">
    <w:name w:val="Header"/>
    <w:basedOn w:val="675"/>
    <w:link w:val="688"/>
    <w:uiPriority w:val="99"/>
    <w:pPr>
      <w:tabs>
        <w:tab w:val="center" w:pos="4677" w:leader="none"/>
        <w:tab w:val="right" w:pos="9355" w:leader="none"/>
      </w:tabs>
    </w:pPr>
  </w:style>
  <w:style w:type="character" w:styleId="688" w:customStyle="1">
    <w:name w:val="Верхний колонтитул Знак"/>
    <w:basedOn w:val="677"/>
    <w:link w:val="687"/>
    <w:uiPriority w:val="99"/>
    <w:rPr>
      <w:rFonts w:ascii="Times New Roman" w:hAnsi="Times New Roman" w:cs="Times New Roman"/>
      <w:sz w:val="20"/>
      <w:szCs w:val="20"/>
    </w:rPr>
  </w:style>
  <w:style w:type="paragraph" w:styleId="689">
    <w:name w:val="Footer"/>
    <w:basedOn w:val="675"/>
    <w:link w:val="690"/>
    <w:uiPriority w:val="99"/>
    <w:semiHidden/>
    <w:pPr>
      <w:tabs>
        <w:tab w:val="center" w:pos="4677" w:leader="none"/>
        <w:tab w:val="right" w:pos="9355" w:leader="none"/>
      </w:tabs>
    </w:pPr>
  </w:style>
  <w:style w:type="character" w:styleId="690" w:customStyle="1">
    <w:name w:val="Нижний колонтитул Знак"/>
    <w:basedOn w:val="677"/>
    <w:link w:val="68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691" w:customStyle="1">
    <w:name w:val="ConsPlusNormal"/>
    <w:uiPriority w:val="99"/>
    <w:pPr>
      <w:ind w:firstLine="720"/>
    </w:pPr>
    <w:rPr>
      <w:rFonts w:ascii="Arial" w:hAnsi="Arial" w:eastAsia="Times New Roman"/>
      <w:sz w:val="20"/>
      <w:szCs w:val="20"/>
    </w:rPr>
  </w:style>
  <w:style w:type="paragraph" w:styleId="692">
    <w:name w:val="Balloon Text"/>
    <w:basedOn w:val="675"/>
    <w:link w:val="693"/>
    <w:uiPriority w:val="99"/>
    <w:semiHidden/>
    <w:rPr>
      <w:rFonts w:ascii="Tahoma" w:hAnsi="Tahoma" w:cs="Tahoma"/>
      <w:sz w:val="16"/>
      <w:szCs w:val="16"/>
    </w:rPr>
  </w:style>
  <w:style w:type="character" w:styleId="693" w:customStyle="1">
    <w:name w:val="Текст выноски Знак"/>
    <w:basedOn w:val="677"/>
    <w:link w:val="692"/>
    <w:uiPriority w:val="99"/>
    <w:semiHidden/>
    <w:rPr>
      <w:rFonts w:ascii="Tahoma" w:hAnsi="Tahoma" w:cs="Tahoma"/>
      <w:sz w:val="16"/>
      <w:szCs w:val="16"/>
    </w:rPr>
  </w:style>
  <w:style w:type="character" w:styleId="694">
    <w:name w:val="Hyperlink"/>
    <w:basedOn w:val="677"/>
    <w:uiPriority w:val="99"/>
    <w:unhideWhenUsed/>
    <w:rPr>
      <w:color w:val="0000ff" w:themeColor="hyperlink"/>
      <w:u w:val="single"/>
    </w:rPr>
  </w:style>
  <w:style w:type="table" w:styleId="695">
    <w:name w:val="Table Grid"/>
    <w:basedOn w:val="678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39A5F-B397-475B-AC95-CC378A6D9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27</cp:revision>
  <dcterms:created xsi:type="dcterms:W3CDTF">2025-11-11T12:34:00Z</dcterms:created>
  <dcterms:modified xsi:type="dcterms:W3CDTF">2025-12-24T07:35:54Z</dcterms:modified>
</cp:coreProperties>
</file>